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5F" w:rsidRPr="00931FBA" w:rsidRDefault="00FC6D7F">
      <w:pPr>
        <w:rPr>
          <w:rFonts w:ascii="Times New Roman" w:hAnsi="Times New Roman" w:cs="Times New Roman"/>
          <w:b/>
        </w:rPr>
      </w:pPr>
      <w:r w:rsidRPr="00931FBA">
        <w:rPr>
          <w:rFonts w:ascii="Times New Roman" w:hAnsi="Times New Roman" w:cs="Times New Roman"/>
          <w:b/>
        </w:rPr>
        <w:t>Correction</w:t>
      </w:r>
    </w:p>
    <w:p w:rsidR="003B6997" w:rsidRPr="003B6997" w:rsidRDefault="003B6997" w:rsidP="003B6997">
      <w:pPr>
        <w:spacing w:after="0"/>
        <w:rPr>
          <w:rFonts w:ascii="Times New Roman" w:hAnsi="Times New Roman" w:cs="Times New Roman"/>
        </w:rPr>
      </w:pPr>
      <w:r w:rsidRPr="003B6997">
        <w:rPr>
          <w:rFonts w:ascii="Times New Roman" w:hAnsi="Times New Roman" w:cs="Times New Roman"/>
        </w:rPr>
        <w:t xml:space="preserve">Question 1 </w:t>
      </w:r>
    </w:p>
    <w:tbl>
      <w:tblPr>
        <w:tblW w:w="104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1745"/>
        <w:gridCol w:w="4434"/>
        <w:gridCol w:w="2334"/>
        <w:gridCol w:w="1969"/>
      </w:tblGrid>
      <w:tr w:rsidR="00FC6D7F" w:rsidTr="00FC6D7F">
        <w:trPr>
          <w:trHeight w:val="400"/>
          <w:jc w:val="center"/>
        </w:trPr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FC6D7F" w:rsidRDefault="00FC6D7F" w:rsidP="003B69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FC6D7F" w:rsidRPr="00FC6D7F" w:rsidRDefault="00FC6D7F" w:rsidP="003B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b/>
                <w:bCs/>
              </w:rPr>
              <w:t>Attentes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C6D7F" w:rsidRPr="00FC6D7F" w:rsidRDefault="00FC6D7F" w:rsidP="003B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b/>
              </w:rPr>
              <w:t>Points de vigilance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FC6D7F" w:rsidRPr="00FC6D7F" w:rsidRDefault="00FC6D7F" w:rsidP="003B6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D7F">
              <w:rPr>
                <w:rFonts w:ascii="Times New Roman" w:hAnsi="Times New Roman" w:cs="Times New Roman"/>
                <w:b/>
                <w:bCs/>
              </w:rPr>
              <w:t>Répartition des points</w:t>
            </w:r>
          </w:p>
        </w:tc>
      </w:tr>
      <w:tr w:rsidR="00FC6D7F" w:rsidTr="00FC6D7F">
        <w:trPr>
          <w:trHeight w:val="792"/>
          <w:jc w:val="center"/>
        </w:trPr>
        <w:tc>
          <w:tcPr>
            <w:tcW w:w="17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FC6D7F" w:rsidRDefault="00FC6D7F" w:rsidP="00406FF1">
            <w:pPr>
              <w:pStyle w:val="Standard"/>
            </w:pPr>
            <w:r>
              <w:t xml:space="preserve">Caractérisez la situation des enfants de cadres et professions intellectuelles supérieures au cours de leur cursus universitaire  </w:t>
            </w:r>
          </w:p>
          <w:p w:rsidR="00FC6D7F" w:rsidRDefault="00FC6D7F" w:rsidP="00406FF1">
            <w:pPr>
              <w:pStyle w:val="Standard"/>
            </w:pPr>
          </w:p>
          <w:p w:rsidR="00FC6D7F" w:rsidRPr="00FC6D7F" w:rsidRDefault="00FC6D7F" w:rsidP="00406FF1">
            <w:pPr>
              <w:pStyle w:val="Standard"/>
              <w:rPr>
                <w:iCs/>
                <w:color w:val="000000"/>
              </w:rPr>
            </w:pPr>
            <w:r w:rsidRPr="00FC6D7F">
              <w:rPr>
                <w:iCs/>
                <w:color w:val="000000"/>
              </w:rPr>
              <w:t>Interprétation % de répartition et calcul sur %</w:t>
            </w:r>
          </w:p>
        </w:tc>
        <w:tc>
          <w:tcPr>
            <w:tcW w:w="4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FC6D7F" w:rsidRPr="00FC6D7F" w:rsidRDefault="00FC6D7F" w:rsidP="00406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6D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1- Capacité à comprendre le sens de la question </w:t>
            </w:r>
          </w:p>
          <w:p w:rsidR="00FC6D7F" w:rsidRPr="00FC6D7F" w:rsidRDefault="00FC6D7F" w:rsidP="00FC6D7F">
            <w:pPr>
              <w:spacing w:after="0" w:line="61" w:lineRule="atLeast"/>
              <w:rPr>
                <w:rFonts w:ascii="Times New Roman" w:hAnsi="Times New Roman" w:cs="Times New Roman"/>
                <w:i/>
              </w:rPr>
            </w:pPr>
            <w:r w:rsidRPr="00FC6D7F">
              <w:rPr>
                <w:rFonts w:ascii="Times New Roman" w:hAnsi="Times New Roman" w:cs="Times New Roman"/>
                <w:i/>
              </w:rPr>
              <w:t>Comparer la situation entre licence et master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6D7F" w:rsidRPr="00FC6D7F" w:rsidRDefault="00FC6D7F" w:rsidP="00FC6D7F">
            <w:pPr>
              <w:spacing w:after="0" w:line="61" w:lineRule="atLeast"/>
              <w:rPr>
                <w:rFonts w:ascii="Times New Roman" w:eastAsia="Arial" w:hAnsi="Times New Roman" w:cs="Times New Roman"/>
                <w:i/>
              </w:rPr>
            </w:pPr>
            <w:r w:rsidRPr="00FC6D7F">
              <w:rPr>
                <w:rFonts w:ascii="Times New Roman" w:eastAsia="Arial" w:hAnsi="Times New Roman" w:cs="Times New Roman"/>
                <w:i/>
              </w:rPr>
              <w:t xml:space="preserve">Ne pas se référer </w:t>
            </w:r>
          </w:p>
          <w:p w:rsidR="00FC6D7F" w:rsidRPr="00FC6D7F" w:rsidRDefault="00FC6D7F" w:rsidP="00FC6D7F">
            <w:pPr>
              <w:spacing w:after="0" w:line="61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FC6D7F">
              <w:rPr>
                <w:rFonts w:ascii="Times New Roman" w:eastAsia="Arial" w:hAnsi="Times New Roman" w:cs="Times New Roman"/>
                <w:i/>
              </w:rPr>
              <w:t>aux CPGE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FC6D7F" w:rsidRPr="003B6997" w:rsidRDefault="00FC6D7F" w:rsidP="00FC6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C6D7F" w:rsidRPr="003B6997" w:rsidRDefault="00FC6D7F" w:rsidP="00FC6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3B6997">
              <w:rPr>
                <w:rFonts w:ascii="Times New Roman" w:hAnsi="Times New Roman" w:cs="Times New Roman"/>
                <w:b/>
                <w:bCs/>
                <w:i/>
              </w:rPr>
              <w:t xml:space="preserve">          </w:t>
            </w:r>
            <w:r w:rsidRPr="003B6997">
              <w:rPr>
                <w:rFonts w:ascii="Times New Roman" w:hAnsi="Times New Roman" w:cs="Times New Roman"/>
                <w:b/>
                <w:bCs/>
                <w:i/>
              </w:rPr>
              <w:t>0.</w:t>
            </w:r>
            <w:r w:rsidRPr="003B6997">
              <w:rPr>
                <w:rFonts w:ascii="Times New Roman" w:hAnsi="Times New Roman" w:cs="Times New Roman"/>
                <w:b/>
                <w:bCs/>
                <w:i/>
              </w:rPr>
              <w:t>2</w:t>
            </w:r>
            <w:r w:rsidRPr="003B6997">
              <w:rPr>
                <w:rFonts w:ascii="Times New Roman" w:hAnsi="Times New Roman" w:cs="Times New Roman"/>
                <w:b/>
                <w:bCs/>
                <w:i/>
              </w:rPr>
              <w:t>5</w:t>
            </w:r>
          </w:p>
          <w:p w:rsidR="00FC6D7F" w:rsidRPr="003B6997" w:rsidRDefault="00FC6D7F" w:rsidP="00FC6D7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C6D7F" w:rsidTr="00FC6D7F">
        <w:trPr>
          <w:trHeight w:val="1566"/>
          <w:jc w:val="center"/>
        </w:trPr>
        <w:tc>
          <w:tcPr>
            <w:tcW w:w="17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FC6D7F" w:rsidRDefault="00FC6D7F" w:rsidP="00406F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FC6D7F" w:rsidRPr="00FC6D7F" w:rsidRDefault="00FC6D7F" w:rsidP="00406F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6D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2- Capacité à maîtriser l’utilisation des données quantitatives et des représentations graphiques </w:t>
            </w:r>
          </w:p>
          <w:p w:rsidR="00FC6D7F" w:rsidRDefault="00FC6D7F" w:rsidP="00FC6D7F">
            <w:pPr>
              <w:spacing w:before="40" w:after="0" w:line="68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Au moins 1 interprétation du % de répartition</w:t>
            </w:r>
          </w:p>
          <w:p w:rsidR="00FC6D7F" w:rsidRPr="00FC6D7F" w:rsidRDefault="00FC6D7F" w:rsidP="00FC6D7F">
            <w:pPr>
              <w:spacing w:before="40" w:after="0" w:line="68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Calcul en point pour comparaison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6D7F" w:rsidRPr="00FC6D7F" w:rsidRDefault="00FC6D7F" w:rsidP="00406FF1">
            <w:pPr>
              <w:pStyle w:val="Standard"/>
              <w:rPr>
                <w:i/>
                <w:iCs/>
                <w:color w:val="000000"/>
                <w:sz w:val="22"/>
                <w:szCs w:val="22"/>
              </w:rPr>
            </w:pPr>
          </w:p>
          <w:p w:rsidR="00FC6D7F" w:rsidRPr="00FC6D7F" w:rsidRDefault="00FC6D7F" w:rsidP="00406FF1">
            <w:pPr>
              <w:pStyle w:val="Standard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Calcul de comparaison porte sur la « part 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>de ..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> » et non le nombre d’étudiants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FC6D7F" w:rsidRPr="003B6997" w:rsidRDefault="00FC6D7F" w:rsidP="00406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C6D7F" w:rsidRPr="003B6997" w:rsidRDefault="00FC6D7F" w:rsidP="00406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C6D7F" w:rsidRPr="003B6997" w:rsidRDefault="00FC6D7F" w:rsidP="00FC6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B6997">
              <w:rPr>
                <w:rFonts w:ascii="Times New Roman" w:hAnsi="Times New Roman" w:cs="Times New Roman"/>
                <w:b/>
                <w:bCs/>
                <w:i/>
              </w:rPr>
              <w:t xml:space="preserve">1 </w:t>
            </w:r>
          </w:p>
        </w:tc>
      </w:tr>
      <w:tr w:rsidR="00FC6D7F" w:rsidTr="00FC6D7F">
        <w:trPr>
          <w:trHeight w:val="396"/>
          <w:jc w:val="center"/>
        </w:trPr>
        <w:tc>
          <w:tcPr>
            <w:tcW w:w="17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FC6D7F" w:rsidRDefault="00FC6D7F" w:rsidP="00406FF1">
            <w:pPr>
              <w:pStyle w:val="Standard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FC6D7F" w:rsidRPr="00FC6D7F" w:rsidRDefault="00FC6D7F" w:rsidP="00FC6D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6D7F">
              <w:rPr>
                <w:rFonts w:ascii="Times New Roman" w:hAnsi="Times New Roman" w:cs="Times New Roman"/>
                <w:b/>
                <w:color w:val="000000" w:themeColor="text1"/>
              </w:rPr>
              <w:t xml:space="preserve">3- Capacité à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rédiger de façon claire et soignée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6D7F" w:rsidRPr="003B6997" w:rsidRDefault="003B6997" w:rsidP="00406FF1">
            <w:pPr>
              <w:pStyle w:val="Standard"/>
              <w:rPr>
                <w:i/>
                <w:iCs/>
                <w:color w:val="auto"/>
                <w:sz w:val="22"/>
                <w:szCs w:val="22"/>
              </w:rPr>
            </w:pPr>
            <w:r w:rsidRPr="003B6997">
              <w:rPr>
                <w:i/>
                <w:iCs/>
                <w:color w:val="auto"/>
                <w:sz w:val="22"/>
                <w:szCs w:val="22"/>
              </w:rPr>
              <w:t>1phrase de constat préalable ou de conclusion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FC6D7F" w:rsidRPr="003B6997" w:rsidRDefault="00FC6D7F" w:rsidP="00406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C6D7F" w:rsidRPr="003B6997" w:rsidRDefault="00FC6D7F" w:rsidP="00FC6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3B6997">
              <w:rPr>
                <w:rFonts w:ascii="Times New Roman" w:hAnsi="Times New Roman" w:cs="Times New Roman"/>
                <w:b/>
                <w:bCs/>
                <w:i/>
              </w:rPr>
              <w:t xml:space="preserve">          </w:t>
            </w:r>
            <w:r w:rsidRPr="003B6997">
              <w:rPr>
                <w:rFonts w:ascii="Times New Roman" w:hAnsi="Times New Roman" w:cs="Times New Roman"/>
                <w:b/>
                <w:bCs/>
                <w:i/>
              </w:rPr>
              <w:t>0.</w:t>
            </w:r>
            <w:r w:rsidRPr="003B6997">
              <w:rPr>
                <w:rFonts w:ascii="Times New Roman" w:hAnsi="Times New Roman" w:cs="Times New Roman"/>
                <w:b/>
                <w:bCs/>
                <w:i/>
              </w:rPr>
              <w:t>2</w:t>
            </w:r>
            <w:r w:rsidRPr="003B6997">
              <w:rPr>
                <w:rFonts w:ascii="Times New Roman" w:hAnsi="Times New Roman" w:cs="Times New Roman"/>
                <w:b/>
                <w:bCs/>
                <w:i/>
              </w:rPr>
              <w:t xml:space="preserve">5 </w:t>
            </w:r>
          </w:p>
        </w:tc>
      </w:tr>
    </w:tbl>
    <w:p w:rsidR="00FC6D7F" w:rsidRDefault="00FC6D7F"/>
    <w:p w:rsidR="003B6997" w:rsidRPr="003B6997" w:rsidRDefault="003B6997" w:rsidP="003B6997">
      <w:pPr>
        <w:spacing w:after="0"/>
        <w:rPr>
          <w:rFonts w:ascii="Times New Roman" w:hAnsi="Times New Roman" w:cs="Times New Roman"/>
        </w:rPr>
      </w:pPr>
      <w:r w:rsidRPr="003B6997">
        <w:rPr>
          <w:rFonts w:ascii="Times New Roman" w:hAnsi="Times New Roman" w:cs="Times New Roman"/>
        </w:rPr>
        <w:t xml:space="preserve">Question 2 </w:t>
      </w:r>
    </w:p>
    <w:tbl>
      <w:tblPr>
        <w:tblW w:w="104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2135"/>
        <w:gridCol w:w="4044"/>
        <w:gridCol w:w="2760"/>
        <w:gridCol w:w="1543"/>
      </w:tblGrid>
      <w:tr w:rsidR="003B6997" w:rsidTr="009165E2">
        <w:trPr>
          <w:trHeight w:val="400"/>
          <w:jc w:val="center"/>
        </w:trPr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3B6997" w:rsidRDefault="003B6997" w:rsidP="003B69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3B6997" w:rsidRDefault="003B6997" w:rsidP="003B69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Attentes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6997" w:rsidRDefault="003B6997" w:rsidP="003B69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Points de vigilance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  <w:vAlign w:val="center"/>
          </w:tcPr>
          <w:p w:rsidR="003B6997" w:rsidRDefault="003B6997" w:rsidP="003B69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Répartition des points</w:t>
            </w:r>
          </w:p>
        </w:tc>
      </w:tr>
      <w:tr w:rsidR="003B6997" w:rsidTr="009165E2">
        <w:trPr>
          <w:trHeight w:val="787"/>
          <w:jc w:val="center"/>
        </w:trPr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Pr="003B6997" w:rsidRDefault="003B6997" w:rsidP="003B6997">
            <w:pPr>
              <w:spacing w:after="0"/>
              <w:rPr>
                <w:rFonts w:ascii="Times New Roman" w:hAnsi="Times New Roman" w:cs="Times New Roman"/>
              </w:rPr>
            </w:pPr>
            <w:r w:rsidRPr="003B6997">
              <w:rPr>
                <w:rFonts w:ascii="Times New Roman" w:hAnsi="Times New Roman" w:cs="Times New Roman"/>
              </w:rPr>
              <w:t>À l’aide du document et de vos connaissances,</w:t>
            </w:r>
            <w:r w:rsidRPr="003B6997">
              <w:rPr>
                <w:rFonts w:ascii="Times New Roman" w:hAnsi="Times New Roman" w:cs="Times New Roman"/>
              </w:rPr>
              <w:t xml:space="preserve"> vous vous demanderez dans quelle mesure les services publics contribuent à réduire les inégalités.</w:t>
            </w:r>
          </w:p>
          <w:p w:rsidR="003B6997" w:rsidRPr="003B6997" w:rsidRDefault="003B6997" w:rsidP="003B6997">
            <w:pPr>
              <w:pStyle w:val="Standard"/>
              <w:rPr>
                <w:i/>
                <w:iCs/>
                <w:color w:val="000000"/>
              </w:rPr>
            </w:pPr>
            <w:r w:rsidRPr="003B6997">
              <w:t xml:space="preserve"> </w:t>
            </w:r>
          </w:p>
          <w:p w:rsidR="003B6997" w:rsidRPr="003B6997" w:rsidRDefault="003B6997" w:rsidP="003B6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6997" w:rsidRPr="003B6997" w:rsidRDefault="003B6997" w:rsidP="003B6997">
            <w:pPr>
              <w:pStyle w:val="Standard"/>
              <w:rPr>
                <w:i/>
                <w:iCs/>
                <w:color w:val="000000"/>
              </w:rPr>
            </w:pPr>
          </w:p>
          <w:p w:rsidR="003B6997" w:rsidRPr="003B6997" w:rsidRDefault="003B6997" w:rsidP="003B6997">
            <w:pPr>
              <w:pStyle w:val="Standard"/>
              <w:rPr>
                <w:i/>
                <w:iCs/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Default="003B6997" w:rsidP="003B69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1- Capacité à comprendre le sens de la question</w:t>
            </w:r>
          </w:p>
          <w:p w:rsidR="003B6997" w:rsidRPr="003B6997" w:rsidRDefault="003B6997" w:rsidP="003B6997">
            <w:pPr>
              <w:pStyle w:val="Corpsdetexte3"/>
              <w:spacing w:before="0"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Arial" w:eastAsia="Arial" w:hAnsi="Arial" w:cs="Arial"/>
                <w:i/>
                <w:color w:val="7030A0"/>
                <w:sz w:val="22"/>
              </w:rPr>
              <w:t xml:space="preserve"> </w:t>
            </w:r>
            <w:r w:rsidRPr="003B6997">
              <w:rPr>
                <w:rFonts w:ascii="Times New Roman" w:eastAsia="Arial" w:hAnsi="Times New Roman" w:cs="Times New Roman"/>
                <w:i/>
                <w:sz w:val="22"/>
              </w:rPr>
              <w:t>Repérer le débat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6997" w:rsidRDefault="003B6997" w:rsidP="003B6997">
            <w:pPr>
              <w:pStyle w:val="Standard"/>
              <w:rPr>
                <w:rFonts w:ascii="Arial" w:hAnsi="Arial" w:cs="Arial"/>
                <w:i/>
                <w:iCs/>
                <w:color w:val="7030A0"/>
                <w:sz w:val="18"/>
              </w:rPr>
            </w:pPr>
          </w:p>
          <w:p w:rsidR="003B6997" w:rsidRDefault="003B6997" w:rsidP="003B6997">
            <w:pPr>
              <w:pStyle w:val="Standard"/>
              <w:rPr>
                <w:rFonts w:ascii="Arial" w:eastAsia="Arial" w:hAnsi="Arial" w:cs="Arial"/>
                <w:i/>
                <w:color w:val="7030A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Default="003B6997" w:rsidP="003B6997">
            <w:pPr>
              <w:spacing w:after="0" w:line="240" w:lineRule="auto"/>
              <w:ind w:left="-48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3B6997" w:rsidRDefault="00931FBA" w:rsidP="003B699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</w:t>
            </w:r>
            <w:r w:rsidR="003B699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0.</w:t>
            </w:r>
            <w:r w:rsidR="003B699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="003B699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5 </w:t>
            </w:r>
          </w:p>
        </w:tc>
      </w:tr>
      <w:tr w:rsidR="003B6997" w:rsidTr="009165E2">
        <w:trPr>
          <w:trHeight w:val="1549"/>
          <w:jc w:val="center"/>
        </w:trPr>
        <w:tc>
          <w:tcPr>
            <w:tcW w:w="2135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Default="003B6997" w:rsidP="00406FF1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Default="003B6997" w:rsidP="00406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2- Capacité à maitriser l’utilisation des données quantitatives et des représentations graphiques</w:t>
            </w:r>
          </w:p>
          <w:p w:rsidR="003B6997" w:rsidRDefault="003B6997" w:rsidP="003B6997">
            <w:pPr>
              <w:spacing w:before="40" w:after="0" w:line="68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interprétation du % de répartition</w:t>
            </w:r>
          </w:p>
          <w:p w:rsidR="003B6997" w:rsidRDefault="003B6997" w:rsidP="003B6997">
            <w:pPr>
              <w:spacing w:after="0" w:line="61" w:lineRule="atLeast"/>
            </w:pPr>
            <w:r>
              <w:rPr>
                <w:rFonts w:ascii="Times New Roman" w:hAnsi="Times New Roman" w:cs="Times New Roman"/>
                <w:i/>
              </w:rPr>
              <w:t xml:space="preserve">Calcul pour comparaison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point ,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coeff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multiplicateur ou % de variation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6997" w:rsidRDefault="00931FBA" w:rsidP="00406FF1">
            <w:pPr>
              <w:pStyle w:val="Standard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Calcul de comparaison porte sur la « part 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>de ..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> » et non le nombre d’étudiants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Default="003B6997" w:rsidP="00406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3B6997" w:rsidRDefault="003B6997" w:rsidP="00406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3B6997" w:rsidRDefault="003B6997" w:rsidP="00406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</w:p>
          <w:p w:rsidR="003B6997" w:rsidRDefault="003B6997" w:rsidP="00406FF1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3B6997" w:rsidRDefault="003B6997" w:rsidP="00406FF1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3B6997" w:rsidRDefault="003B6997" w:rsidP="00406FF1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3B6997" w:rsidRDefault="003B6997" w:rsidP="00406FF1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3B6997" w:rsidTr="009165E2">
        <w:trPr>
          <w:trHeight w:val="396"/>
          <w:jc w:val="center"/>
        </w:trPr>
        <w:tc>
          <w:tcPr>
            <w:tcW w:w="2135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Default="003B6997" w:rsidP="00406FF1">
            <w:pPr>
              <w:pStyle w:val="Standard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Default="003B6997" w:rsidP="00406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3– Capacité à maîtriser les connaissances appropriées</w:t>
            </w:r>
          </w:p>
          <w:p w:rsidR="003B6997" w:rsidRPr="00931FBA" w:rsidRDefault="003B6997" w:rsidP="003B6997">
            <w:pPr>
              <w:spacing w:after="0" w:line="240" w:lineRule="auto"/>
              <w:rPr>
                <w:rFonts w:ascii="Times New Roman" w:eastAsia="Arial" w:hAnsi="Times New Roman" w:cs="Times New Roman"/>
                <w:i/>
              </w:rPr>
            </w:pPr>
            <w:r w:rsidRPr="00931FBA">
              <w:rPr>
                <w:rFonts w:ascii="Times New Roman" w:eastAsia="Arial" w:hAnsi="Times New Roman" w:cs="Times New Roman"/>
                <w:i/>
              </w:rPr>
              <w:t>Notion de service public</w:t>
            </w:r>
          </w:p>
          <w:p w:rsidR="003B6997" w:rsidRPr="00931FBA" w:rsidRDefault="003B6997" w:rsidP="003B6997">
            <w:pPr>
              <w:spacing w:after="0" w:line="240" w:lineRule="auto"/>
              <w:rPr>
                <w:rFonts w:ascii="Times New Roman" w:eastAsia="Arial" w:hAnsi="Times New Roman" w:cs="Times New Roman"/>
                <w:i/>
              </w:rPr>
            </w:pPr>
            <w:r w:rsidRPr="00931FBA">
              <w:rPr>
                <w:rFonts w:ascii="Times New Roman" w:eastAsia="Arial" w:hAnsi="Times New Roman" w:cs="Times New Roman"/>
                <w:i/>
              </w:rPr>
              <w:t>Mécanisme : éviter une dépense</w:t>
            </w:r>
          </w:p>
          <w:p w:rsidR="003B6997" w:rsidRPr="00931FBA" w:rsidRDefault="003B6997" w:rsidP="00931FBA">
            <w:pPr>
              <w:spacing w:after="0" w:line="240" w:lineRule="auto"/>
              <w:rPr>
                <w:rFonts w:ascii="Times New Roman" w:eastAsia="Arial" w:hAnsi="Times New Roman" w:cs="Times New Roman"/>
                <w:i/>
              </w:rPr>
            </w:pPr>
            <w:r w:rsidRPr="00931FBA">
              <w:rPr>
                <w:rFonts w:ascii="Times New Roman" w:eastAsia="Arial" w:hAnsi="Times New Roman" w:cs="Times New Roman"/>
                <w:i/>
              </w:rPr>
              <w:t>Effet réducteur </w:t>
            </w:r>
          </w:p>
          <w:p w:rsidR="00931FBA" w:rsidRDefault="00931FBA" w:rsidP="00931FBA">
            <w:pPr>
              <w:spacing w:after="0" w:line="240" w:lineRule="auto"/>
            </w:pPr>
            <w:r w:rsidRPr="00931FBA">
              <w:rPr>
                <w:rFonts w:ascii="Times New Roman" w:eastAsia="Arial" w:hAnsi="Times New Roman" w:cs="Times New Roman"/>
                <w:i/>
              </w:rPr>
              <w:t>Relativisation : durée des études + CPGE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FBA" w:rsidRDefault="00931FBA" w:rsidP="00406FF1">
            <w:pPr>
              <w:pStyle w:val="Standard"/>
              <w:rPr>
                <w:i/>
                <w:iCs/>
                <w:color w:val="auto"/>
                <w:sz w:val="22"/>
              </w:rPr>
            </w:pPr>
          </w:p>
          <w:p w:rsidR="00931FBA" w:rsidRDefault="00931FBA" w:rsidP="00406FF1">
            <w:pPr>
              <w:pStyle w:val="Standard"/>
              <w:rPr>
                <w:i/>
                <w:iCs/>
                <w:color w:val="auto"/>
                <w:sz w:val="22"/>
              </w:rPr>
            </w:pPr>
          </w:p>
          <w:p w:rsidR="00931FBA" w:rsidRDefault="00931FBA" w:rsidP="00406FF1">
            <w:pPr>
              <w:pStyle w:val="Standard"/>
              <w:rPr>
                <w:i/>
                <w:iCs/>
                <w:color w:val="auto"/>
                <w:sz w:val="22"/>
              </w:rPr>
            </w:pPr>
          </w:p>
          <w:p w:rsidR="003B6997" w:rsidRPr="00931FBA" w:rsidRDefault="00931FBA" w:rsidP="00406FF1">
            <w:pPr>
              <w:pStyle w:val="Standard"/>
              <w:rPr>
                <w:i/>
                <w:iCs/>
                <w:color w:val="auto"/>
                <w:sz w:val="22"/>
              </w:rPr>
            </w:pPr>
            <w:r w:rsidRPr="00931FBA">
              <w:rPr>
                <w:i/>
                <w:iCs/>
                <w:color w:val="auto"/>
                <w:sz w:val="22"/>
              </w:rPr>
              <w:t>Faire référence au coût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Default="00931FBA" w:rsidP="00931FBA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 3</w:t>
            </w:r>
          </w:p>
          <w:p w:rsidR="00931FBA" w:rsidRDefault="00931FBA" w:rsidP="00406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931FBA" w:rsidRPr="00931FBA" w:rsidRDefault="00931FBA" w:rsidP="00406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31FBA">
              <w:rPr>
                <w:rFonts w:ascii="Times New Roman" w:hAnsi="Times New Roman" w:cs="Times New Roman"/>
                <w:bCs/>
                <w:i/>
              </w:rPr>
              <w:t>0,5</w:t>
            </w:r>
          </w:p>
          <w:p w:rsidR="00931FBA" w:rsidRPr="00931FBA" w:rsidRDefault="00931FBA" w:rsidP="00406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31FBA">
              <w:rPr>
                <w:rFonts w:ascii="Times New Roman" w:hAnsi="Times New Roman" w:cs="Times New Roman"/>
                <w:bCs/>
                <w:i/>
              </w:rPr>
              <w:t>0,5</w:t>
            </w:r>
          </w:p>
          <w:p w:rsidR="003B6997" w:rsidRPr="00931FBA" w:rsidRDefault="00931FBA" w:rsidP="00406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31FBA">
              <w:rPr>
                <w:rFonts w:ascii="Times New Roman" w:hAnsi="Times New Roman" w:cs="Times New Roman"/>
                <w:bCs/>
                <w:i/>
              </w:rPr>
              <w:t>0,5</w:t>
            </w:r>
          </w:p>
          <w:p w:rsidR="003B6997" w:rsidRDefault="00931FBA" w:rsidP="00406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31FBA">
              <w:rPr>
                <w:rFonts w:ascii="Times New Roman" w:hAnsi="Times New Roman" w:cs="Times New Roman"/>
                <w:bCs/>
                <w:i/>
              </w:rPr>
              <w:t>1,5</w:t>
            </w:r>
          </w:p>
        </w:tc>
      </w:tr>
      <w:tr w:rsidR="003B6997" w:rsidTr="009165E2">
        <w:trPr>
          <w:trHeight w:val="692"/>
          <w:jc w:val="center"/>
        </w:trPr>
        <w:tc>
          <w:tcPr>
            <w:tcW w:w="2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Default="003B6997" w:rsidP="00406FF1">
            <w:pPr>
              <w:pStyle w:val="Standard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Default="003B6997" w:rsidP="00406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4- Capacité à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rédiger de manière claire et soignée</w:t>
            </w:r>
          </w:p>
          <w:p w:rsidR="003B6997" w:rsidRPr="00931FBA" w:rsidRDefault="00931FBA" w:rsidP="00931FBA">
            <w:pPr>
              <w:spacing w:after="0" w:line="61" w:lineRule="atLeast"/>
              <w:ind w:left="58" w:right="115"/>
              <w:rPr>
                <w:rFonts w:ascii="Times New Roman" w:eastAsia="Times New Roman" w:hAnsi="Times New Roman" w:cs="Times New Roman"/>
                <w:bCs/>
                <w:i/>
                <w:lang w:eastAsia="fr-FR"/>
              </w:rPr>
            </w:pPr>
            <w:r w:rsidRPr="00931FBA">
              <w:rPr>
                <w:rFonts w:ascii="Times New Roman" w:eastAsia="Times New Roman" w:hAnsi="Times New Roman" w:cs="Times New Roman"/>
                <w:bCs/>
                <w:i/>
                <w:lang w:eastAsia="fr-FR"/>
              </w:rPr>
              <w:t>Réponse structurée pour rendre compte du débat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B6997" w:rsidRDefault="003B6997" w:rsidP="00406FF1">
            <w:pPr>
              <w:pStyle w:val="Standard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auto"/>
              <w:left w:w="98" w:type="dxa"/>
              <w:bottom w:w="0" w:type="auto"/>
              <w:right w:w="0" w:type="auto"/>
            </w:tcMar>
          </w:tcPr>
          <w:p w:rsidR="003B6997" w:rsidRDefault="00931FBA" w:rsidP="00931FBA">
            <w:pPr>
              <w:pStyle w:val="Corpsdetexte3"/>
              <w:shd w:val="clear" w:color="auto" w:fill="FFFFFF" w:themeFill="background1"/>
              <w:spacing w:before="0"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0,25</w:t>
            </w:r>
          </w:p>
          <w:p w:rsidR="003B6997" w:rsidRDefault="003B6997" w:rsidP="00406FF1">
            <w:pPr>
              <w:pStyle w:val="Corpsdetexte3"/>
              <w:shd w:val="clear" w:color="auto" w:fill="FFFFFF" w:themeFill="background1"/>
              <w:spacing w:before="0" w:after="0" w:line="240" w:lineRule="auto"/>
              <w:ind w:firstLine="3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p w:rsidR="003B6997" w:rsidRDefault="003B6997"/>
    <w:p w:rsidR="00931FBA" w:rsidRPr="00A41816" w:rsidRDefault="00931FBA" w:rsidP="00931FBA">
      <w:pPr>
        <w:spacing w:after="0"/>
        <w:rPr>
          <w:rFonts w:ascii="Times New Roman" w:hAnsi="Times New Roman" w:cs="Times New Roman"/>
          <w:b/>
          <w:i/>
        </w:rPr>
      </w:pPr>
      <w:r w:rsidRPr="00A41816">
        <w:rPr>
          <w:rFonts w:ascii="Times New Roman" w:hAnsi="Times New Roman" w:cs="Times New Roman"/>
          <w:b/>
          <w:i/>
        </w:rPr>
        <w:t xml:space="preserve">Question 1 </w:t>
      </w:r>
    </w:p>
    <w:p w:rsidR="00931FBA" w:rsidRDefault="00931FBA" w:rsidP="00931FBA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</w:rPr>
      </w:pPr>
      <w:r w:rsidRPr="00C45E15">
        <w:rPr>
          <w:rFonts w:ascii="Times New Roman" w:eastAsia="Wingdings-Regular" w:hAnsi="Times New Roman" w:cs="Times New Roman"/>
          <w:color w:val="FF0000"/>
        </w:rPr>
        <w:t xml:space="preserve">. </w:t>
      </w:r>
      <w:r>
        <w:rPr>
          <w:rFonts w:ascii="Times New Roman" w:eastAsia="Wingdings-Regular" w:hAnsi="Times New Roman" w:cs="Times New Roman"/>
          <w:color w:val="FF0000"/>
        </w:rPr>
        <w:tab/>
      </w:r>
      <w:r>
        <w:rPr>
          <w:rFonts w:ascii="Times New Roman" w:eastAsia="Wingdings-Regular" w:hAnsi="Times New Roman" w:cs="Times New Roman"/>
        </w:rPr>
        <w:t>On constate que la présence des enfants de CPIS s’accroît avec la durée des études.</w:t>
      </w:r>
    </w:p>
    <w:p w:rsidR="00931FBA" w:rsidRPr="00822D77" w:rsidRDefault="00931FBA" w:rsidP="00931FBA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</w:rPr>
      </w:pPr>
      <w:r>
        <w:rPr>
          <w:rFonts w:ascii="Times New Roman" w:eastAsia="Wingdings-Regular" w:hAnsi="Times New Roman" w:cs="Times New Roman"/>
        </w:rPr>
        <w:t xml:space="preserve"> En </w:t>
      </w:r>
      <w:proofErr w:type="gramStart"/>
      <w:r>
        <w:rPr>
          <w:rFonts w:ascii="Times New Roman" w:eastAsia="Wingdings-Regular" w:hAnsi="Times New Roman" w:cs="Times New Roman"/>
        </w:rPr>
        <w:t>effet ,</w:t>
      </w:r>
      <w:proofErr w:type="gramEnd"/>
      <w:r>
        <w:rPr>
          <w:rFonts w:ascii="Times New Roman" w:eastAsia="Wingdings-Regular" w:hAnsi="Times New Roman" w:cs="Times New Roman"/>
        </w:rPr>
        <w:t xml:space="preserve"> pour l’année 2019-2020, ils représentaient 29,3 % des étudiants de Licence  et 40 , 2 % des étudiants de Master soit une part qui a augmenté de 10,9 points . </w:t>
      </w:r>
    </w:p>
    <w:p w:rsidR="00931FBA" w:rsidRDefault="00931FBA" w:rsidP="00931FBA">
      <w:pPr>
        <w:spacing w:after="0"/>
        <w:rPr>
          <w:rFonts w:ascii="Times New Roman" w:hAnsi="Times New Roman" w:cs="Times New Roman"/>
          <w:b/>
          <w:i/>
        </w:rPr>
      </w:pPr>
    </w:p>
    <w:p w:rsidR="00931FBA" w:rsidRPr="00A41816" w:rsidRDefault="00931FBA" w:rsidP="00931FBA">
      <w:pPr>
        <w:spacing w:after="0"/>
        <w:rPr>
          <w:rFonts w:ascii="Times New Roman" w:hAnsi="Times New Roman" w:cs="Times New Roman"/>
          <w:b/>
          <w:i/>
        </w:rPr>
      </w:pPr>
      <w:r w:rsidRPr="00A41816">
        <w:rPr>
          <w:rFonts w:ascii="Times New Roman" w:hAnsi="Times New Roman" w:cs="Times New Roman"/>
          <w:b/>
          <w:i/>
        </w:rPr>
        <w:t>Question 2</w:t>
      </w:r>
    </w:p>
    <w:p w:rsidR="00931FBA" w:rsidRDefault="00931FBA" w:rsidP="00931F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F25">
        <w:rPr>
          <w:rFonts w:ascii="Times New Roman" w:hAnsi="Times New Roman" w:cs="Times New Roman"/>
          <w:sz w:val="24"/>
          <w:szCs w:val="24"/>
        </w:rPr>
        <w:t>Les services publics</w:t>
      </w:r>
      <w:r>
        <w:rPr>
          <w:rFonts w:ascii="Times New Roman" w:hAnsi="Times New Roman" w:cs="Times New Roman"/>
          <w:sz w:val="24"/>
          <w:szCs w:val="24"/>
        </w:rPr>
        <w:t xml:space="preserve"> ou collectifs</w:t>
      </w:r>
      <w:r w:rsidRPr="002F7F25">
        <w:rPr>
          <w:rFonts w:ascii="Times New Roman" w:hAnsi="Times New Roman" w:cs="Times New Roman"/>
          <w:sz w:val="24"/>
          <w:szCs w:val="24"/>
        </w:rPr>
        <w:t xml:space="preserve"> sont des </w:t>
      </w:r>
      <w:r>
        <w:rPr>
          <w:rFonts w:ascii="Times New Roman" w:hAnsi="Times New Roman" w:cs="Times New Roman"/>
          <w:sz w:val="24"/>
          <w:szCs w:val="24"/>
        </w:rPr>
        <w:t>activités d’intérêt général</w:t>
      </w:r>
      <w:r w:rsidRPr="002F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F25">
        <w:rPr>
          <w:rFonts w:ascii="Times New Roman" w:hAnsi="Times New Roman" w:cs="Times New Roman"/>
          <w:sz w:val="24"/>
          <w:szCs w:val="24"/>
        </w:rPr>
        <w:t xml:space="preserve">non individualisables </w:t>
      </w:r>
      <w:r>
        <w:rPr>
          <w:rFonts w:ascii="Times New Roman" w:hAnsi="Times New Roman" w:cs="Times New Roman"/>
          <w:sz w:val="24"/>
          <w:szCs w:val="24"/>
        </w:rPr>
        <w:t>comme la</w:t>
      </w:r>
      <w:r w:rsidRPr="002F7F25">
        <w:rPr>
          <w:rFonts w:ascii="Times New Roman" w:hAnsi="Times New Roman" w:cs="Times New Roman"/>
          <w:sz w:val="24"/>
          <w:szCs w:val="24"/>
        </w:rPr>
        <w:t xml:space="preserve"> police,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2F7F25">
        <w:rPr>
          <w:rFonts w:ascii="Times New Roman" w:hAnsi="Times New Roman" w:cs="Times New Roman"/>
          <w:sz w:val="24"/>
          <w:szCs w:val="24"/>
        </w:rPr>
        <w:t>éclairage public ou indiv</w:t>
      </w:r>
      <w:r>
        <w:rPr>
          <w:rFonts w:ascii="Times New Roman" w:hAnsi="Times New Roman" w:cs="Times New Roman"/>
          <w:sz w:val="24"/>
          <w:szCs w:val="24"/>
        </w:rPr>
        <w:t>idualisables : éducation, ou  santé</w:t>
      </w:r>
      <w:r w:rsidRPr="002F7F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Les pouvoirs publics assurent leur </w:t>
      </w:r>
      <w:r w:rsidRPr="002F7F25">
        <w:rPr>
          <w:rFonts w:ascii="Times New Roman" w:hAnsi="Times New Roman" w:cs="Times New Roman"/>
          <w:sz w:val="24"/>
          <w:szCs w:val="24"/>
        </w:rPr>
        <w:t xml:space="preserve">mise en  </w:t>
      </w:r>
      <w:r>
        <w:rPr>
          <w:rFonts w:ascii="Times New Roman" w:hAnsi="Times New Roman" w:cs="Times New Roman"/>
          <w:sz w:val="24"/>
          <w:szCs w:val="24"/>
        </w:rPr>
        <w:t>œuvre car ils constituent</w:t>
      </w:r>
      <w:r w:rsidRPr="002F7F25">
        <w:rPr>
          <w:rFonts w:ascii="Times New Roman" w:hAnsi="Times New Roman" w:cs="Times New Roman"/>
          <w:sz w:val="24"/>
          <w:szCs w:val="24"/>
        </w:rPr>
        <w:t xml:space="preserve"> un moyen de redistribution : ils garantissent l’accès aux plus pauvres</w:t>
      </w:r>
      <w:r>
        <w:rPr>
          <w:rFonts w:ascii="Times New Roman" w:hAnsi="Times New Roman" w:cs="Times New Roman"/>
          <w:sz w:val="24"/>
          <w:szCs w:val="24"/>
        </w:rPr>
        <w:t xml:space="preserve"> à des services jugés essentiels </w:t>
      </w:r>
      <w:r w:rsidRPr="002F7F25">
        <w:rPr>
          <w:rFonts w:ascii="Times New Roman" w:hAnsi="Times New Roman" w:cs="Times New Roman"/>
          <w:sz w:val="24"/>
          <w:szCs w:val="24"/>
        </w:rPr>
        <w:t>non pas en versant un revenu mais en diminuant la</w:t>
      </w:r>
      <w:r>
        <w:rPr>
          <w:rFonts w:ascii="Times New Roman" w:hAnsi="Times New Roman" w:cs="Times New Roman"/>
          <w:sz w:val="24"/>
          <w:szCs w:val="24"/>
        </w:rPr>
        <w:t xml:space="preserve"> dépense à supporter.</w:t>
      </w:r>
    </w:p>
    <w:p w:rsidR="00931FBA" w:rsidRPr="002F7F25" w:rsidRDefault="00931FBA" w:rsidP="00931F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cas de l’éducation </w:t>
      </w:r>
      <w:r w:rsidRPr="002F7F25">
        <w:rPr>
          <w:rFonts w:ascii="Times New Roman" w:hAnsi="Times New Roman" w:cs="Times New Roman"/>
          <w:sz w:val="24"/>
          <w:szCs w:val="24"/>
        </w:rPr>
        <w:t>plutôt que de verser aux parents des revenus pour que leurs enfants puissent suivre des études, q</w:t>
      </w:r>
      <w:r>
        <w:rPr>
          <w:rFonts w:ascii="Times New Roman" w:hAnsi="Times New Roman" w:cs="Times New Roman"/>
          <w:sz w:val="24"/>
          <w:szCs w:val="24"/>
        </w:rPr>
        <w:t xml:space="preserve">uel </w:t>
      </w:r>
      <w:r w:rsidRPr="002F7F25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ue </w:t>
      </w:r>
      <w:r w:rsidRPr="002F7F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oi</w:t>
      </w:r>
      <w:r w:rsidRPr="002F7F25">
        <w:rPr>
          <w:rFonts w:ascii="Times New Roman" w:hAnsi="Times New Roman" w:cs="Times New Roman"/>
          <w:sz w:val="24"/>
          <w:szCs w:val="24"/>
        </w:rPr>
        <w:t>t le niveau de revenu, l'Etat prend en charge gratuitement l’éducation</w:t>
      </w:r>
      <w:r>
        <w:rPr>
          <w:rFonts w:ascii="Times New Roman" w:hAnsi="Times New Roman" w:cs="Times New Roman"/>
          <w:sz w:val="24"/>
          <w:szCs w:val="24"/>
        </w:rPr>
        <w:t xml:space="preserve"> ou en limite significativement le coût dans l’enseignement supérieur (droits d’inscription à l’université). Ainsi on s’aperçoit que les enfants de classe populaire (employés et ouvriers) constituent en 2019-2020 pratiquement </w:t>
      </w:r>
      <w:r>
        <w:rPr>
          <w:rFonts w:ascii="Times New Roman" w:hAnsi="Times New Roman" w:cs="Times New Roman"/>
          <w:sz w:val="24"/>
          <w:szCs w:val="24"/>
        </w:rPr>
        <w:lastRenderedPageBreak/>
        <w:t>le tiers (32,1 %) des élèves de Licence et encore 21,4 % des élèves de Master. Au delà de l’accès à l’éducation cette situation pourra réduire les inégalités en favorisant une mobilité sociale ascendante pour les enfants issus de ce milieu.</w:t>
      </w:r>
    </w:p>
    <w:p w:rsidR="00931FBA" w:rsidRDefault="00931FBA" w:rsidP="00931F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F25">
        <w:rPr>
          <w:rFonts w:ascii="Times New Roman" w:hAnsi="Times New Roman" w:cs="Times New Roman"/>
          <w:sz w:val="24"/>
          <w:szCs w:val="24"/>
        </w:rPr>
        <w:t xml:space="preserve">Cependant cette capacité </w:t>
      </w:r>
      <w:proofErr w:type="spellStart"/>
      <w:r w:rsidRPr="002F7F25">
        <w:rPr>
          <w:rFonts w:ascii="Times New Roman" w:hAnsi="Times New Roman" w:cs="Times New Roman"/>
          <w:sz w:val="24"/>
          <w:szCs w:val="24"/>
        </w:rPr>
        <w:t>redistributive</w:t>
      </w:r>
      <w:proofErr w:type="spellEnd"/>
      <w:r w:rsidRPr="002F7F25">
        <w:rPr>
          <w:rFonts w:ascii="Times New Roman" w:hAnsi="Times New Roman" w:cs="Times New Roman"/>
          <w:sz w:val="24"/>
          <w:szCs w:val="24"/>
        </w:rPr>
        <w:t xml:space="preserve"> n’est pas toujours vérifiée ; dans certains cas, ce sont les plus riches qui bénéficient davantage de ces services, alors que tout le monde participe au financement.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FBA" w:rsidRDefault="00931FBA" w:rsidP="00931F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Certes on constate une massification de l’éducation mais l’enseignement supérieur reste sélectif quant à l’origine sociale des étudiants. </w:t>
      </w:r>
    </w:p>
    <w:p w:rsidR="00931FBA" w:rsidRDefault="00931FBA" w:rsidP="00931F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 l’allongement des études (de la licence au master) se traduit par une contraction de la part des enfants de classe populaire au profit des enfants de cadres : la part de ces derniers, on l’a vu augmente de 10, 9 points alors que celle des enfants d’ouvriers et d’employés régresse de 10, 8 points.</w:t>
      </w:r>
    </w:p>
    <w:p w:rsidR="00931FBA" w:rsidRPr="002F7F25" w:rsidRDefault="00931FBA" w:rsidP="00931F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ailleurs on note une surreprésentation des enfants de cadres supérieurs dans les CPGE : sur 100 étudiants de CPGE, </w:t>
      </w:r>
      <w:proofErr w:type="gramStart"/>
      <w:r>
        <w:rPr>
          <w:rFonts w:ascii="Times New Roman" w:hAnsi="Times New Roman" w:cs="Times New Roman"/>
          <w:sz w:val="24"/>
          <w:szCs w:val="24"/>
        </w:rPr>
        <w:t>51,9 ,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soit la moitié, sont des enfants de cadres supérieurs ;  leur part est 5 fois plus élevée que celle des enfants d’employés et plus de 9 fois plus élevée pour les enfants d’ouvriers. Or ces classes préparatoires sont à la fois les formations les plus coûteuses (la dépense moyenne par étudiant en classe préparatoire est supérieure de 50% à celle d’un cursus universitaire) et les plus valorisantes en termes d’accès à l’emploi. </w:t>
      </w:r>
    </w:p>
    <w:p w:rsidR="00931FBA" w:rsidRPr="009165E2" w:rsidRDefault="00931FBA" w:rsidP="00931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9165E2">
        <w:rPr>
          <w:rFonts w:ascii="Times New Roman" w:hAnsi="Times New Roman" w:cs="Times New Roman"/>
          <w:sz w:val="24"/>
          <w:szCs w:val="24"/>
        </w:rPr>
        <w:t>Si le service public d’éducation – comme d’autres services collectifs - évite l’exclusion des plus modestes  il apparaît néanmoins comme bénéficiant davantage aux catégories supérieures relativisant ainsi l’effet sur  la réduction des inégalités.</w:t>
      </w:r>
    </w:p>
    <w:p w:rsidR="00931FBA" w:rsidRPr="009165E2" w:rsidRDefault="00931FBA" w:rsidP="00931FBA">
      <w:pPr>
        <w:rPr>
          <w:rFonts w:ascii="Times New Roman" w:hAnsi="Times New Roman" w:cs="Times New Roman"/>
          <w:sz w:val="24"/>
          <w:szCs w:val="24"/>
        </w:rPr>
      </w:pPr>
    </w:p>
    <w:p w:rsidR="00931FBA" w:rsidRDefault="00931FBA"/>
    <w:sectPr w:rsidR="00931FBA" w:rsidSect="00FC6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C6D7F"/>
    <w:rsid w:val="0012585F"/>
    <w:rsid w:val="00186041"/>
    <w:rsid w:val="003B6997"/>
    <w:rsid w:val="009165E2"/>
    <w:rsid w:val="00931FBA"/>
    <w:rsid w:val="00AC350F"/>
    <w:rsid w:val="00FC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3Car">
    <w:name w:val="Corps de texte 3 Car"/>
    <w:basedOn w:val="Policepardfaut"/>
    <w:link w:val="Corpsdetexte3"/>
    <w:uiPriority w:val="99"/>
    <w:rsid w:val="00FC6D7F"/>
    <w:rPr>
      <w:sz w:val="16"/>
      <w:shd w:val="nil"/>
    </w:rPr>
  </w:style>
  <w:style w:type="paragraph" w:styleId="Corpsdetexte3">
    <w:name w:val="Body Text 3"/>
    <w:basedOn w:val="Normal"/>
    <w:link w:val="Corpsdetexte3Car"/>
    <w:uiPriority w:val="99"/>
    <w:unhideWhenUsed/>
    <w:rsid w:val="00FC6D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40" w:after="120" w:line="288" w:lineRule="auto"/>
      <w:jc w:val="both"/>
    </w:pPr>
    <w:rPr>
      <w:sz w:val="16"/>
    </w:rPr>
  </w:style>
  <w:style w:type="character" w:customStyle="1" w:styleId="Corpsdetexte3Car1">
    <w:name w:val="Corps de texte 3 Car1"/>
    <w:basedOn w:val="Policepardfaut"/>
    <w:link w:val="Corpsdetexte3"/>
    <w:uiPriority w:val="99"/>
    <w:semiHidden/>
    <w:rsid w:val="00FC6D7F"/>
    <w:rPr>
      <w:sz w:val="16"/>
      <w:szCs w:val="16"/>
    </w:rPr>
  </w:style>
  <w:style w:type="paragraph" w:customStyle="1" w:styleId="Standard">
    <w:name w:val="Standard"/>
    <w:rsid w:val="00FC6D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fr-FR"/>
    </w:rPr>
  </w:style>
  <w:style w:type="paragraph" w:styleId="Sansinterligne">
    <w:name w:val="No Spacing"/>
    <w:uiPriority w:val="1"/>
    <w:qFormat/>
    <w:rsid w:val="00FC6D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2021-11-11T18:44:00Z</dcterms:created>
  <dcterms:modified xsi:type="dcterms:W3CDTF">2021-11-11T19:16:00Z</dcterms:modified>
</cp:coreProperties>
</file>