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08C9F" w14:textId="77777777" w:rsidR="00915762" w:rsidRPr="002C0855" w:rsidRDefault="00915762" w:rsidP="002C0855">
      <w:pPr>
        <w:keepNext/>
        <w:keepLines/>
        <w:spacing w:after="0" w:line="240" w:lineRule="auto"/>
        <w:jc w:val="both"/>
        <w:outlineLvl w:val="2"/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</w:pPr>
      <w:r w:rsidRPr="00520D1D">
        <w:rPr>
          <w:rFonts w:asciiTheme="majorHAnsi" w:eastAsia="Times New Roman" w:hAnsiTheme="majorHAnsi" w:cstheme="majorHAnsi"/>
          <w:b/>
          <w:bCs/>
          <w:color w:val="404040"/>
          <w:sz w:val="24"/>
          <w:szCs w:val="24"/>
          <w:lang w:eastAsia="fr-FR"/>
        </w:rPr>
        <w:t>Grille d’évaluation de l’EC1 (attendus académiques dans le cadre du baccalauréat) </w:t>
      </w:r>
    </w:p>
    <w:p w14:paraId="42FFAF97" w14:textId="77777777" w:rsidR="00915762" w:rsidRPr="00331D86" w:rsidRDefault="00915762" w:rsidP="00520D1D">
      <w:pPr>
        <w:pStyle w:val="Paragraphedeliste"/>
        <w:numPr>
          <w:ilvl w:val="0"/>
          <w:numId w:val="1"/>
        </w:num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ind w:left="0"/>
        <w:contextualSpacing w:val="0"/>
        <w:jc w:val="center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331D86">
        <w:rPr>
          <w:rFonts w:asciiTheme="majorHAnsi" w:eastAsia="Times New Roman" w:hAnsiTheme="majorHAnsi" w:cstheme="majorHAnsi"/>
          <w:b/>
          <w:bCs/>
          <w:i/>
          <w:iCs/>
          <w:color w:val="00000A"/>
          <w:sz w:val="24"/>
          <w:szCs w:val="24"/>
          <w:u w:val="single"/>
          <w:lang w:eastAsia="fr-FR"/>
        </w:rPr>
        <w:t>Points de vigilance</w:t>
      </w:r>
    </w:p>
    <w:p w14:paraId="66001496" w14:textId="77777777" w:rsidR="00915762" w:rsidRPr="00331D86" w:rsidRDefault="00915762" w:rsidP="00520D1D">
      <w:pPr>
        <w:pStyle w:val="Paragraphedeliste"/>
        <w:numPr>
          <w:ilvl w:val="0"/>
          <w:numId w:val="1"/>
        </w:num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ind w:left="0"/>
        <w:contextualSpacing w:val="0"/>
        <w:jc w:val="center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331D86">
        <w:rPr>
          <w:rFonts w:asciiTheme="majorHAnsi" w:eastAsia="Times New Roman" w:hAnsiTheme="majorHAnsi" w:cstheme="majorHAnsi"/>
          <w:b/>
          <w:bCs/>
          <w:i/>
          <w:iCs/>
          <w:color w:val="00000A"/>
          <w:sz w:val="24"/>
          <w:szCs w:val="24"/>
          <w:lang w:eastAsia="fr-FR"/>
        </w:rPr>
        <w:t>Les attentes sont strictement limitées au programme officiel du cycle terminal.</w:t>
      </w:r>
    </w:p>
    <w:p w14:paraId="2C22AB71" w14:textId="77777777" w:rsidR="00915762" w:rsidRPr="00331D86" w:rsidRDefault="00915762" w:rsidP="00520D1D">
      <w:pPr>
        <w:pStyle w:val="Paragraphedeliste"/>
        <w:numPr>
          <w:ilvl w:val="0"/>
          <w:numId w:val="1"/>
        </w:num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ind w:left="0"/>
        <w:contextualSpacing w:val="0"/>
        <w:jc w:val="center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331D86">
        <w:rPr>
          <w:rFonts w:asciiTheme="majorHAnsi" w:eastAsia="Times New Roman" w:hAnsiTheme="majorHAnsi" w:cstheme="majorHAnsi"/>
          <w:b/>
          <w:bCs/>
          <w:i/>
          <w:iCs/>
          <w:color w:val="00000A"/>
          <w:sz w:val="24"/>
          <w:szCs w:val="24"/>
          <w:lang w:eastAsia="fr-FR"/>
        </w:rPr>
        <w:t>Les notions et les mécanismes à mobiliser figurent dans les objectifs d’apprentissage.</w:t>
      </w:r>
    </w:p>
    <w:p w14:paraId="4917C593" w14:textId="77777777" w:rsidR="00915762" w:rsidRPr="00520D1D" w:rsidRDefault="00915762" w:rsidP="00520D1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520D1D">
        <w:rPr>
          <w:rFonts w:asciiTheme="majorHAnsi" w:eastAsia="Times New Roman" w:hAnsiTheme="majorHAnsi" w:cstheme="majorHAnsi"/>
          <w:sz w:val="24"/>
          <w:szCs w:val="24"/>
          <w:lang w:eastAsia="fr-FR"/>
        </w:rPr>
        <w:t> </w:t>
      </w:r>
    </w:p>
    <w:tbl>
      <w:tblPr>
        <w:tblW w:w="15730" w:type="dxa"/>
        <w:tblCellSpacing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114"/>
        <w:gridCol w:w="7087"/>
        <w:gridCol w:w="2127"/>
        <w:gridCol w:w="3402"/>
      </w:tblGrid>
      <w:tr w:rsidR="00915762" w:rsidRPr="00331D86" w14:paraId="31E626C5" w14:textId="77777777" w:rsidTr="00C641C7">
        <w:trPr>
          <w:trHeight w:val="846"/>
          <w:tblCellSpacing w:w="0" w:type="dxa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00362BC" w14:textId="77777777" w:rsidR="00915762" w:rsidRPr="00331D86" w:rsidRDefault="00915762" w:rsidP="00520D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 w:rsidRPr="00331D86"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  <w:t> </w:t>
            </w:r>
          </w:p>
          <w:p w14:paraId="0CEF80F8" w14:textId="77777777" w:rsidR="00915762" w:rsidRPr="00331D86" w:rsidRDefault="00915762" w:rsidP="00520D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 w:rsidRPr="00331D86"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B33662F" w14:textId="77777777" w:rsidR="00915762" w:rsidRPr="00331D86" w:rsidRDefault="00915762" w:rsidP="00520D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 w:rsidRPr="00331D86">
              <w:rPr>
                <w:rFonts w:asciiTheme="majorHAnsi" w:eastAsia="Times New Roman" w:hAnsiTheme="majorHAnsi" w:cstheme="majorHAnsi"/>
                <w:b/>
                <w:bCs/>
                <w:color w:val="00000A"/>
                <w:sz w:val="24"/>
                <w:szCs w:val="24"/>
                <w:lang w:eastAsia="fr-FR"/>
              </w:rPr>
              <w:t>Attentes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14:paraId="5DE40CD6" w14:textId="77777777" w:rsidR="00915762" w:rsidRPr="00331D86" w:rsidRDefault="00915762" w:rsidP="00520D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 w:rsidRPr="00331D86">
              <w:rPr>
                <w:rFonts w:asciiTheme="majorHAnsi" w:eastAsia="Times New Roman" w:hAnsiTheme="majorHAnsi" w:cstheme="majorHAnsi"/>
                <w:b/>
                <w:bCs/>
                <w:color w:val="00000A"/>
                <w:sz w:val="24"/>
                <w:szCs w:val="24"/>
                <w:lang w:eastAsia="fr-FR"/>
              </w:rPr>
              <w:t>Points de vigilance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0CD5FF0" w14:textId="77777777" w:rsidR="00915762" w:rsidRPr="00331D86" w:rsidRDefault="00915762" w:rsidP="00520D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 w:rsidRPr="00331D86">
              <w:rPr>
                <w:rFonts w:asciiTheme="majorHAnsi" w:eastAsia="Times New Roman" w:hAnsiTheme="majorHAnsi" w:cstheme="majorHAnsi"/>
                <w:b/>
                <w:bCs/>
                <w:color w:val="00000A"/>
                <w:sz w:val="24"/>
                <w:szCs w:val="24"/>
                <w:lang w:eastAsia="fr-FR"/>
              </w:rPr>
              <w:t>Répartition des points</w:t>
            </w:r>
          </w:p>
        </w:tc>
      </w:tr>
      <w:tr w:rsidR="007C6F40" w:rsidRPr="00331D86" w14:paraId="3CA15468" w14:textId="77777777" w:rsidTr="00C641C7">
        <w:trPr>
          <w:trHeight w:val="3258"/>
          <w:tblCellSpacing w:w="0" w:type="dxa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56A3053" w14:textId="77777777" w:rsidR="00915762" w:rsidRPr="00331D86" w:rsidRDefault="00915762" w:rsidP="00520D1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 w:rsidRPr="00331D8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  <w:t xml:space="preserve">Question </w:t>
            </w:r>
          </w:p>
          <w:p w14:paraId="35CCDB69" w14:textId="77777777" w:rsidR="00915762" w:rsidRPr="00331D86" w:rsidRDefault="007C6F40" w:rsidP="00520D1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 w:rsidRPr="00331D86"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fr-FR"/>
              </w:rPr>
              <w:t>Quelles sont les limites des tables de mobilité sociale ?</w:t>
            </w:r>
            <w:r w:rsidR="00915762" w:rsidRPr="00331D86"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  <w:t> </w:t>
            </w:r>
          </w:p>
          <w:p w14:paraId="0F0A1D45" w14:textId="77777777" w:rsidR="00915762" w:rsidRPr="00331D86" w:rsidRDefault="00915762" w:rsidP="00520D1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</w:pPr>
            <w:r w:rsidRPr="00331D8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  <w:t>Programme </w:t>
            </w:r>
          </w:p>
          <w:p w14:paraId="1211968B" w14:textId="77777777" w:rsidR="007C6F40" w:rsidRPr="00331D86" w:rsidRDefault="007C6F40" w:rsidP="00520D1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</w:pPr>
          </w:p>
          <w:p w14:paraId="47C907FF" w14:textId="77777777" w:rsidR="00915762" w:rsidRPr="00331D86" w:rsidRDefault="007C6F40" w:rsidP="00520D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fr-FR"/>
              </w:rPr>
            </w:pPr>
            <w:r w:rsidRPr="00331D86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fr-FR"/>
              </w:rPr>
              <w:t>SSP3 – mobilité – OA2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6448FA4" w14:textId="77777777" w:rsidR="00915762" w:rsidRPr="00331D86" w:rsidRDefault="00915762" w:rsidP="00520D1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 w:rsidRPr="00331D8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  <w:t>Construction d</w:t>
            </w:r>
            <w:r w:rsidR="007C6F40" w:rsidRPr="00331D8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  <w:t>’</w:t>
            </w:r>
            <w:r w:rsidRPr="00331D8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  <w:t>une réponse s</w:t>
            </w:r>
            <w:r w:rsidR="007C6F40" w:rsidRPr="00331D8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  <w:t>’</w:t>
            </w:r>
            <w:r w:rsidRPr="00331D8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  <w:t>appuyant sur :</w:t>
            </w:r>
          </w:p>
          <w:p w14:paraId="0F473D6E" w14:textId="77777777" w:rsidR="00915762" w:rsidRPr="00331D86" w:rsidRDefault="00915762" w:rsidP="002C0855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D8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fr-FR"/>
              </w:rPr>
              <w:t>Comprendre le sens de la question</w:t>
            </w:r>
          </w:p>
          <w:p w14:paraId="3B0C56F0" w14:textId="77777777" w:rsidR="00331D86" w:rsidRPr="00331D86" w:rsidRDefault="00331D86" w:rsidP="002C085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  <w:t xml:space="preserve">Enumérer les limites </w:t>
            </w:r>
            <w:r w:rsidR="00520D1D"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  <w:t>en les justifiant</w:t>
            </w:r>
          </w:p>
          <w:p w14:paraId="637014F2" w14:textId="77777777" w:rsidR="00915762" w:rsidRDefault="00915762" w:rsidP="002C0855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D8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fr-FR"/>
              </w:rPr>
              <w:t>Maîtriser les connaissances appropriées</w:t>
            </w:r>
          </w:p>
          <w:p w14:paraId="5DE066FF" w14:textId="77777777" w:rsidR="002C0855" w:rsidRPr="002C0855" w:rsidRDefault="002C0855" w:rsidP="002C0855">
            <w:pPr>
              <w:pBdr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pBdr>
              <w:shd w:val="clear" w:color="auto" w:fill="D9D9D9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 w:rsidRPr="002C0855"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  <w:t>Eléments de réponse :</w:t>
            </w:r>
          </w:p>
          <w:p w14:paraId="04DC31BC" w14:textId="77777777" w:rsidR="002C0855" w:rsidRPr="002C0855" w:rsidRDefault="002C0855" w:rsidP="002C0855">
            <w:pPr>
              <w:pStyle w:val="Paragraphedeliste"/>
              <w:numPr>
                <w:ilvl w:val="0"/>
                <w:numId w:val="6"/>
              </w:numPr>
              <w:pBdr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pBdr>
              <w:shd w:val="clear" w:color="auto" w:fill="D9D9D9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 w:rsidRPr="002C0855"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  <w:t xml:space="preserve">La profession (PCS) comme seul critère de positionnement des individus : elles ne prennent en compte qu’un quart des actifs, elles éliminent les femmes et les français naturalisés, les moins de 40 ans. </w:t>
            </w:r>
          </w:p>
          <w:p w14:paraId="0E6CBEC2" w14:textId="77777777" w:rsidR="002C0855" w:rsidRPr="002C0855" w:rsidRDefault="002C0855" w:rsidP="002C0855">
            <w:pPr>
              <w:pStyle w:val="Paragraphedeliste"/>
              <w:numPr>
                <w:ilvl w:val="0"/>
                <w:numId w:val="6"/>
              </w:numPr>
              <w:pBdr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pBdr>
              <w:shd w:val="clear" w:color="auto" w:fill="D9D9D9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 w:rsidRPr="002C0855"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  <w:t>Un instantané simple de la mobilité intergénérationnelle</w:t>
            </w:r>
          </w:p>
          <w:p w14:paraId="7CDEDA8F" w14:textId="77777777" w:rsidR="002C0855" w:rsidRPr="002C0855" w:rsidRDefault="002C0855" w:rsidP="002C0855">
            <w:pPr>
              <w:pStyle w:val="Paragraphedeliste"/>
              <w:numPr>
                <w:ilvl w:val="0"/>
                <w:numId w:val="6"/>
              </w:numPr>
              <w:pBdr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pBdr>
              <w:shd w:val="clear" w:color="auto" w:fill="D9D9D9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 w:rsidRPr="002C0855"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  <w:t>Les tables de mobilité sociale ne renseignent pas sur les autres types de mobilité sociale</w:t>
            </w:r>
          </w:p>
          <w:p w14:paraId="0C73A819" w14:textId="77777777" w:rsidR="002C0855" w:rsidRPr="002C0855" w:rsidRDefault="002C0855" w:rsidP="002C0855">
            <w:pPr>
              <w:pStyle w:val="Paragraphedeliste"/>
              <w:numPr>
                <w:ilvl w:val="0"/>
                <w:numId w:val="6"/>
              </w:numPr>
              <w:pBdr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pBdr>
              <w:shd w:val="clear" w:color="auto" w:fill="D9D9D9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 w:rsidRPr="002C0855"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  <w:t>Problème de lisibilité de la mobilité sociale féminine (/la mère)</w:t>
            </w:r>
          </w:p>
          <w:p w14:paraId="4C047C35" w14:textId="77777777" w:rsidR="002C0855" w:rsidRPr="002C0855" w:rsidRDefault="002C0855" w:rsidP="002C0855">
            <w:pPr>
              <w:pStyle w:val="Paragraphedeliste"/>
              <w:numPr>
                <w:ilvl w:val="0"/>
                <w:numId w:val="6"/>
              </w:numPr>
              <w:pBdr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pBdr>
              <w:shd w:val="clear" w:color="auto" w:fill="D9D9D9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 w:rsidRPr="002C0855"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  <w:t>Les tables de mobilité ne mesurent pas les micros déplacements au sein d’une même PCS. (</w:t>
            </w:r>
            <w:proofErr w:type="gramStart"/>
            <w:r w:rsidRPr="002C0855"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  <w:t>ne</w:t>
            </w:r>
            <w:proofErr w:type="gramEnd"/>
            <w:r w:rsidRPr="002C0855"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  <w:t xml:space="preserve"> distinguent pas correctement les trajectoires ascendantes et descendantes. Les statuts sociaux peuvent être différents d’une PCS à une autre (prestige, revenu, capital culturel).</w:t>
            </w:r>
          </w:p>
          <w:p w14:paraId="631DCEC6" w14:textId="77777777" w:rsidR="002C0855" w:rsidRPr="002C0855" w:rsidRDefault="002C0855" w:rsidP="002C0855">
            <w:pPr>
              <w:pStyle w:val="Paragraphedeliste"/>
              <w:numPr>
                <w:ilvl w:val="0"/>
                <w:numId w:val="6"/>
              </w:numPr>
              <w:pBdr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pBdr>
              <w:shd w:val="clear" w:color="auto" w:fill="D9D9D9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 w:rsidRPr="002C0855"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  <w:t>Ne permet pas de saisir les logiques individuelles.</w:t>
            </w:r>
          </w:p>
          <w:p w14:paraId="099273C0" w14:textId="77777777" w:rsidR="00331D86" w:rsidRPr="002C0855" w:rsidRDefault="00520D1D" w:rsidP="002C085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fr-FR"/>
              </w:rPr>
            </w:pPr>
            <w:r w:rsidRPr="002C08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fr-FR"/>
              </w:rPr>
              <w:t>3 limites correctement justifiées</w:t>
            </w:r>
          </w:p>
          <w:p w14:paraId="526F3CDA" w14:textId="77777777" w:rsidR="00915762" w:rsidRPr="00331D86" w:rsidRDefault="00915762" w:rsidP="002C0855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D8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fr-FR"/>
              </w:rPr>
              <w:t>Organiser sa réponse</w:t>
            </w:r>
          </w:p>
          <w:p w14:paraId="107E6891" w14:textId="77777777" w:rsidR="00331D86" w:rsidRPr="00331D86" w:rsidRDefault="002C0855" w:rsidP="00520D1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  <w:t xml:space="preserve">Réponse cohérentes </w:t>
            </w:r>
            <w:r w:rsidR="00C641C7"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  <w:t xml:space="preserve">sous forme argumentée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  <w:t xml:space="preserve">AEI par </w:t>
            </w:r>
            <w:r w:rsidR="00C641C7"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  <w:t>limite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14:paraId="5C7E2F55" w14:textId="77777777" w:rsidR="00915762" w:rsidRPr="00331D86" w:rsidRDefault="00915762" w:rsidP="00520D1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 w:rsidRPr="00331D86"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  <w:t> </w:t>
            </w:r>
            <w:r w:rsidR="002C0855"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  <w:t>L’élève ne peut pas se contenter de citer les limites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FEAB39B" w14:textId="77777777" w:rsidR="002C0855" w:rsidRPr="00331D86" w:rsidRDefault="002C0855" w:rsidP="002C0855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D8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fr-FR"/>
              </w:rPr>
              <w:t>Comprendre le sens de la question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2C0855">
              <w:rPr>
                <w:rFonts w:asciiTheme="majorHAnsi" w:eastAsia="Times New Roman" w:hAnsiTheme="majorHAnsi" w:cstheme="majorHAnsi"/>
                <w:b/>
                <w:bCs/>
                <w:color w:val="FF0000"/>
                <w:sz w:val="24"/>
                <w:szCs w:val="24"/>
                <w:lang w:eastAsia="fr-FR"/>
              </w:rPr>
              <w:t>(0,5 pt)</w:t>
            </w:r>
          </w:p>
          <w:p w14:paraId="19F93872" w14:textId="77777777" w:rsidR="002C0855" w:rsidRPr="00C641C7" w:rsidRDefault="002C0855" w:rsidP="002C0855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31D8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fr-FR"/>
              </w:rPr>
              <w:t>Maîtriser les connaissances appropriées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2C0855">
              <w:rPr>
                <w:rFonts w:asciiTheme="majorHAnsi" w:eastAsia="Times New Roman" w:hAnsiTheme="majorHAnsi" w:cstheme="majorHAnsi"/>
                <w:b/>
                <w:bCs/>
                <w:color w:val="FF0000"/>
                <w:sz w:val="24"/>
                <w:szCs w:val="24"/>
                <w:lang w:eastAsia="fr-FR"/>
              </w:rPr>
              <w:t>(3 pts)</w:t>
            </w:r>
          </w:p>
          <w:p w14:paraId="08F74010" w14:textId="77777777" w:rsidR="00C641C7" w:rsidRPr="00C641C7" w:rsidRDefault="00C641C7" w:rsidP="00C641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fr-FR"/>
              </w:rPr>
            </w:pPr>
            <w:r w:rsidRPr="00C641C7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fr-FR"/>
              </w:rPr>
              <w:t>(1 pt par limite)</w:t>
            </w:r>
          </w:p>
          <w:p w14:paraId="106166B4" w14:textId="77777777" w:rsidR="002C0855" w:rsidRPr="002C0855" w:rsidRDefault="002C0855" w:rsidP="002C0855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331D8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fr-FR"/>
              </w:rPr>
              <w:t>Organiser sa réponse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2C0855">
              <w:rPr>
                <w:rFonts w:asciiTheme="majorHAnsi" w:eastAsia="Times New Roman" w:hAnsiTheme="majorHAnsi" w:cstheme="majorHAnsi"/>
                <w:b/>
                <w:bCs/>
                <w:color w:val="FF0000"/>
                <w:sz w:val="24"/>
                <w:szCs w:val="24"/>
                <w:lang w:eastAsia="fr-FR"/>
              </w:rPr>
              <w:t>(0,5pt)</w:t>
            </w:r>
          </w:p>
          <w:p w14:paraId="03ADC669" w14:textId="77777777" w:rsidR="00915762" w:rsidRPr="002C0855" w:rsidRDefault="002C0855" w:rsidP="002C0855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4"/>
                <w:szCs w:val="24"/>
                <w:lang w:eastAsia="fr-FR"/>
              </w:rPr>
            </w:pPr>
            <w:r w:rsidRPr="002C0855">
              <w:rPr>
                <w:rFonts w:asciiTheme="majorHAnsi" w:eastAsia="Times New Roman" w:hAnsiTheme="majorHAnsi" w:cstheme="majorHAnsi"/>
                <w:i/>
                <w:sz w:val="24"/>
                <w:szCs w:val="24"/>
                <w:lang w:eastAsia="fr-FR"/>
              </w:rPr>
              <w:t xml:space="preserve"> (1,5 points si 3 limites seulement citées)</w:t>
            </w:r>
          </w:p>
        </w:tc>
      </w:tr>
    </w:tbl>
    <w:p w14:paraId="142FDE58" w14:textId="77777777" w:rsidR="00EC454E" w:rsidRDefault="00EC454E" w:rsidP="00C641C7">
      <w:pPr>
        <w:tabs>
          <w:tab w:val="left" w:pos="8473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</w:p>
    <w:p w14:paraId="0B71912A" w14:textId="77777777" w:rsidR="00EC454E" w:rsidRDefault="00EC454E">
      <w:pPr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br w:type="page"/>
      </w:r>
    </w:p>
    <w:tbl>
      <w:tblPr>
        <w:tblW w:w="1558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87"/>
        <w:gridCol w:w="6385"/>
        <w:gridCol w:w="2683"/>
        <w:gridCol w:w="3528"/>
      </w:tblGrid>
      <w:tr w:rsidR="00EC454E" w:rsidRPr="00331D86" w14:paraId="5508D6E8" w14:textId="77777777" w:rsidTr="00EC454E">
        <w:trPr>
          <w:trHeight w:val="509"/>
        </w:trPr>
        <w:tc>
          <w:tcPr>
            <w:tcW w:w="29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102" w:type="dxa"/>
            </w:tcMar>
            <w:vAlign w:val="center"/>
            <w:hideMark/>
          </w:tcPr>
          <w:p w14:paraId="1EDABEC5" w14:textId="77777777" w:rsidR="00EC454E" w:rsidRPr="00331D86" w:rsidRDefault="00EC454E" w:rsidP="0054644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31D8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 xml:space="preserve"> Question 1 </w:t>
            </w:r>
          </w:p>
        </w:tc>
        <w:tc>
          <w:tcPr>
            <w:tcW w:w="6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102" w:type="dxa"/>
            </w:tcMar>
            <w:vAlign w:val="center"/>
            <w:hideMark/>
          </w:tcPr>
          <w:p w14:paraId="48D53C1F" w14:textId="77777777" w:rsidR="00EC454E" w:rsidRPr="00331D86" w:rsidRDefault="00EC454E" w:rsidP="0054644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31D8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Attentes</w:t>
            </w:r>
          </w:p>
        </w:tc>
        <w:tc>
          <w:tcPr>
            <w:tcW w:w="2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102" w:type="dxa"/>
            </w:tcMar>
            <w:vAlign w:val="center"/>
            <w:hideMark/>
          </w:tcPr>
          <w:p w14:paraId="37703FB6" w14:textId="77777777" w:rsidR="00EC454E" w:rsidRPr="00331D86" w:rsidRDefault="00EC454E" w:rsidP="0054644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31D8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Points de vigilance</w:t>
            </w:r>
          </w:p>
        </w:tc>
        <w:tc>
          <w:tcPr>
            <w:tcW w:w="3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102" w:type="dxa"/>
            </w:tcMar>
            <w:vAlign w:val="center"/>
            <w:hideMark/>
          </w:tcPr>
          <w:p w14:paraId="684909C6" w14:textId="77777777" w:rsidR="00EC454E" w:rsidRPr="00331D86" w:rsidRDefault="00EC454E" w:rsidP="0054644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31D8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Répartition des points</w:t>
            </w:r>
          </w:p>
        </w:tc>
      </w:tr>
      <w:tr w:rsidR="00EC454E" w:rsidRPr="00331D86" w14:paraId="3A4B4A5E" w14:textId="77777777" w:rsidTr="00EC454E">
        <w:trPr>
          <w:trHeight w:val="1269"/>
        </w:trPr>
        <w:tc>
          <w:tcPr>
            <w:tcW w:w="298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102" w:type="dxa"/>
            </w:tcMar>
            <w:hideMark/>
          </w:tcPr>
          <w:p w14:paraId="4F296449" w14:textId="77777777" w:rsidR="002C7332" w:rsidRDefault="002C7332" w:rsidP="002C733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31D86">
              <w:rPr>
                <w:rFonts w:asciiTheme="majorHAnsi" w:hAnsiTheme="majorHAnsi" w:cstheme="majorHAnsi"/>
                <w:sz w:val="24"/>
                <w:szCs w:val="24"/>
              </w:rPr>
              <w:t xml:space="preserve">A </w:t>
            </w:r>
            <w:r w:rsidR="00744954">
              <w:rPr>
                <w:rFonts w:asciiTheme="majorHAnsi" w:hAnsiTheme="majorHAnsi" w:cstheme="majorHAnsi"/>
                <w:sz w:val="24"/>
                <w:szCs w:val="24"/>
              </w:rPr>
              <w:t xml:space="preserve">l’aide des données du document, caractérisez le phénomène de reproduction sociale. </w:t>
            </w:r>
          </w:p>
          <w:p w14:paraId="01F934D7" w14:textId="77777777" w:rsidR="0014185C" w:rsidRPr="0014185C" w:rsidRDefault="0014185C" w:rsidP="0014185C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14185C">
              <w:rPr>
                <w:rFonts w:asciiTheme="majorHAnsi" w:hAnsiTheme="majorHAnsi" w:cstheme="majorHAnsi"/>
                <w:i/>
                <w:sz w:val="24"/>
                <w:szCs w:val="24"/>
              </w:rPr>
              <w:t>(2 points)</w:t>
            </w:r>
          </w:p>
          <w:p w14:paraId="506CDA4C" w14:textId="77777777" w:rsidR="00EC454E" w:rsidRPr="00331D86" w:rsidRDefault="00EC454E" w:rsidP="002C733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102" w:type="dxa"/>
            </w:tcMar>
            <w:hideMark/>
          </w:tcPr>
          <w:p w14:paraId="7AFF664E" w14:textId="77777777" w:rsidR="00EC454E" w:rsidRPr="00331D86" w:rsidRDefault="00EC454E" w:rsidP="0054644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31D8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1- Capacité à comprendre le sens de la question </w:t>
            </w:r>
          </w:p>
          <w:p w14:paraId="3304C73B" w14:textId="77777777" w:rsidR="00EC454E" w:rsidRPr="00331D86" w:rsidRDefault="0014185C" w:rsidP="0054644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Identifier l’hérédité sociale et rendre compte des distinctions entre PCS. </w:t>
            </w:r>
          </w:p>
        </w:tc>
        <w:tc>
          <w:tcPr>
            <w:tcW w:w="2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102" w:type="dxa"/>
            </w:tcMar>
            <w:hideMark/>
          </w:tcPr>
          <w:p w14:paraId="595BF6E0" w14:textId="77777777" w:rsidR="00EC454E" w:rsidRPr="00F77281" w:rsidRDefault="00F77281" w:rsidP="0054644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77281">
              <w:rPr>
                <w:rFonts w:asciiTheme="majorHAnsi" w:hAnsiTheme="majorHAnsi" w:cstheme="majorHAnsi"/>
                <w:iCs/>
                <w:sz w:val="24"/>
                <w:szCs w:val="24"/>
              </w:rPr>
              <w:t>Pré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sentation du document pas atten</w:t>
            </w:r>
            <w:r w:rsidRPr="00F77281">
              <w:rPr>
                <w:rFonts w:asciiTheme="majorHAnsi" w:hAnsiTheme="majorHAnsi" w:cstheme="majorHAnsi"/>
                <w:iCs/>
                <w:sz w:val="24"/>
                <w:szCs w:val="24"/>
              </w:rPr>
              <w:t>due (pas de sanction pour autant)</w:t>
            </w:r>
          </w:p>
        </w:tc>
        <w:tc>
          <w:tcPr>
            <w:tcW w:w="3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102" w:type="dxa"/>
            </w:tcMar>
            <w:hideMark/>
          </w:tcPr>
          <w:p w14:paraId="381AE46A" w14:textId="77777777" w:rsidR="00EC454E" w:rsidRPr="006D62F7" w:rsidRDefault="00F77281" w:rsidP="006D62F7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i/>
                <w:iCs/>
                <w:color w:val="FF0000"/>
                <w:sz w:val="24"/>
                <w:szCs w:val="24"/>
              </w:rPr>
            </w:pPr>
            <w:r w:rsidRPr="006D62F7">
              <w:rPr>
                <w:rFonts w:asciiTheme="majorHAnsi" w:hAnsiTheme="majorHAnsi" w:cstheme="majorHAnsi"/>
                <w:bCs/>
                <w:i/>
                <w:iCs/>
                <w:color w:val="FF0000"/>
                <w:sz w:val="24"/>
                <w:szCs w:val="24"/>
              </w:rPr>
              <w:t>0,5 point</w:t>
            </w:r>
          </w:p>
          <w:p w14:paraId="7AB985B4" w14:textId="77777777" w:rsidR="00F77281" w:rsidRPr="006D62F7" w:rsidRDefault="00F77281" w:rsidP="006D62F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EC454E" w:rsidRPr="00331D86" w14:paraId="3CE2C270" w14:textId="77777777" w:rsidTr="00EC454E">
        <w:trPr>
          <w:trHeight w:val="1373"/>
        </w:trPr>
        <w:tc>
          <w:tcPr>
            <w:tcW w:w="298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7570DB47" w14:textId="77777777" w:rsidR="00EC454E" w:rsidRPr="00331D86" w:rsidRDefault="00EC454E" w:rsidP="0054644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102" w:type="dxa"/>
            </w:tcMar>
            <w:hideMark/>
          </w:tcPr>
          <w:p w14:paraId="0599188D" w14:textId="77777777" w:rsidR="00EC454E" w:rsidRPr="00331D86" w:rsidRDefault="00EC454E" w:rsidP="0054644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31D8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2- Capacité à maîtriser l’utilisation des données quantitatives et des représentations graphiques </w:t>
            </w:r>
          </w:p>
          <w:p w14:paraId="5D4F801C" w14:textId="77777777" w:rsidR="00EC454E" w:rsidRDefault="0014185C" w:rsidP="0054644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Lecture de l’immobilité sur la diagonale</w:t>
            </w:r>
          </w:p>
          <w:p w14:paraId="4DF2966D" w14:textId="77777777" w:rsidR="0014185C" w:rsidRDefault="0014185C" w:rsidP="0054644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Pourcentage de répartition </w:t>
            </w:r>
          </w:p>
          <w:p w14:paraId="6E81AEC8" w14:textId="77777777" w:rsidR="0014185C" w:rsidRPr="0014185C" w:rsidRDefault="0014185C" w:rsidP="0014185C">
            <w:pPr>
              <w:spacing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14185C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(Sur 100 fils de…, X 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appartiennent à la même PCS)</w:t>
            </w:r>
          </w:p>
        </w:tc>
        <w:tc>
          <w:tcPr>
            <w:tcW w:w="2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102" w:type="dxa"/>
            </w:tcMar>
            <w:hideMark/>
          </w:tcPr>
          <w:p w14:paraId="001B3109" w14:textId="77777777" w:rsidR="00EC454E" w:rsidRPr="00331D86" w:rsidRDefault="00EC454E" w:rsidP="0054644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31D8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102" w:type="dxa"/>
            </w:tcMar>
            <w:hideMark/>
          </w:tcPr>
          <w:p w14:paraId="2E34DBD8" w14:textId="77777777" w:rsidR="00EC454E" w:rsidRPr="006D62F7" w:rsidRDefault="00F77281" w:rsidP="006D62F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6D62F7">
              <w:rPr>
                <w:rFonts w:asciiTheme="majorHAnsi" w:hAnsiTheme="majorHAnsi" w:cstheme="majorHAnsi"/>
                <w:bCs/>
                <w:i/>
                <w:iCs/>
                <w:color w:val="FF0000"/>
                <w:sz w:val="24"/>
                <w:szCs w:val="24"/>
              </w:rPr>
              <w:t>0,5 point</w:t>
            </w:r>
          </w:p>
        </w:tc>
      </w:tr>
      <w:tr w:rsidR="00EC454E" w:rsidRPr="00331D86" w14:paraId="63211D8A" w14:textId="77777777" w:rsidTr="00EC454E">
        <w:trPr>
          <w:trHeight w:val="953"/>
        </w:trPr>
        <w:tc>
          <w:tcPr>
            <w:tcW w:w="298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624A2A29" w14:textId="77777777" w:rsidR="00EC454E" w:rsidRPr="00331D86" w:rsidRDefault="00EC454E" w:rsidP="0054644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102" w:type="dxa"/>
            </w:tcMar>
            <w:hideMark/>
          </w:tcPr>
          <w:p w14:paraId="5240612D" w14:textId="77777777" w:rsidR="00EC454E" w:rsidRPr="00331D86" w:rsidRDefault="00EC454E" w:rsidP="0054644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31D8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3- Capacité à répondre à la question posée</w:t>
            </w:r>
          </w:p>
          <w:p w14:paraId="0ADCE5F9" w14:textId="77777777" w:rsidR="00EC454E" w:rsidRPr="0014185C" w:rsidRDefault="0014185C" w:rsidP="0014185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4185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Sélectionner les données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de la diagonales en les classant selon le poids de l’immobilité. </w:t>
            </w:r>
          </w:p>
        </w:tc>
        <w:tc>
          <w:tcPr>
            <w:tcW w:w="2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102" w:type="dxa"/>
            </w:tcMar>
            <w:hideMark/>
          </w:tcPr>
          <w:p w14:paraId="576F4724" w14:textId="77777777" w:rsidR="00EC454E" w:rsidRPr="0014185C" w:rsidRDefault="00EC454E" w:rsidP="0054644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31D8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 </w:t>
            </w:r>
            <w:r w:rsidR="0014185C">
              <w:rPr>
                <w:rFonts w:asciiTheme="majorHAnsi" w:hAnsiTheme="majorHAnsi" w:cstheme="majorHAnsi"/>
                <w:iCs/>
                <w:sz w:val="24"/>
                <w:szCs w:val="24"/>
              </w:rPr>
              <w:t>Il n’est pas nécessaire d’attendre un paragraphe structuré</w:t>
            </w:r>
            <w:r w:rsidR="00F77281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3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102" w:type="dxa"/>
            </w:tcMar>
            <w:hideMark/>
          </w:tcPr>
          <w:p w14:paraId="63090711" w14:textId="77777777" w:rsidR="00EC454E" w:rsidRPr="006D62F7" w:rsidRDefault="00EC454E" w:rsidP="006D62F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  <w:p w14:paraId="6C6112F4" w14:textId="77777777" w:rsidR="00EC454E" w:rsidRPr="006D62F7" w:rsidRDefault="00EC454E" w:rsidP="006D62F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6D62F7">
              <w:rPr>
                <w:rFonts w:asciiTheme="majorHAnsi" w:hAnsiTheme="majorHAnsi" w:cstheme="majorHAnsi"/>
                <w:bCs/>
                <w:i/>
                <w:iCs/>
                <w:color w:val="FF0000"/>
                <w:sz w:val="24"/>
                <w:szCs w:val="24"/>
              </w:rPr>
              <w:t>1 point</w:t>
            </w:r>
          </w:p>
        </w:tc>
      </w:tr>
      <w:tr w:rsidR="00EC454E" w:rsidRPr="00331D86" w14:paraId="3E8AAEFA" w14:textId="77777777" w:rsidTr="002C7332">
        <w:trPr>
          <w:trHeight w:val="400"/>
        </w:trPr>
        <w:tc>
          <w:tcPr>
            <w:tcW w:w="298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8771D90" w14:textId="77777777" w:rsidR="00EC454E" w:rsidRPr="00331D86" w:rsidRDefault="00EC454E" w:rsidP="0054644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31D8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</w:t>
            </w:r>
            <w:r w:rsidR="002C733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Question 2</w:t>
            </w:r>
          </w:p>
        </w:tc>
        <w:tc>
          <w:tcPr>
            <w:tcW w:w="6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102" w:type="dxa"/>
            </w:tcMar>
            <w:hideMark/>
          </w:tcPr>
          <w:p w14:paraId="5CB5DC67" w14:textId="77777777" w:rsidR="00EC454E" w:rsidRPr="00331D86" w:rsidRDefault="00EC454E" w:rsidP="0054644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31D86">
              <w:rPr>
                <w:rFonts w:asciiTheme="majorHAnsi" w:hAnsiTheme="majorHAnsi" w:cstheme="majorHAnsi"/>
                <w:sz w:val="24"/>
                <w:szCs w:val="24"/>
              </w:rPr>
              <w:t>Attentes</w:t>
            </w:r>
          </w:p>
        </w:tc>
        <w:tc>
          <w:tcPr>
            <w:tcW w:w="2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102" w:type="dxa"/>
            </w:tcMar>
            <w:hideMark/>
          </w:tcPr>
          <w:p w14:paraId="47D53302" w14:textId="77777777" w:rsidR="00EC454E" w:rsidRPr="00331D86" w:rsidRDefault="00EC454E" w:rsidP="0054644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31D8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Points de vigilance</w:t>
            </w:r>
          </w:p>
        </w:tc>
        <w:tc>
          <w:tcPr>
            <w:tcW w:w="3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102" w:type="dxa"/>
            </w:tcMar>
            <w:hideMark/>
          </w:tcPr>
          <w:p w14:paraId="5912BA87" w14:textId="77777777" w:rsidR="00EC454E" w:rsidRPr="00331D86" w:rsidRDefault="00EC454E" w:rsidP="00546446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331D8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Répartition des points</w:t>
            </w:r>
          </w:p>
        </w:tc>
      </w:tr>
      <w:tr w:rsidR="00F77281" w:rsidRPr="00331D86" w14:paraId="126C8FB8" w14:textId="77777777" w:rsidTr="001F205E">
        <w:trPr>
          <w:trHeight w:val="1319"/>
        </w:trPr>
        <w:tc>
          <w:tcPr>
            <w:tcW w:w="2987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9676FCE" w14:textId="77777777" w:rsidR="00F77281" w:rsidRDefault="00F77281" w:rsidP="00744954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31D86">
              <w:rPr>
                <w:rFonts w:asciiTheme="majorHAnsi" w:hAnsiTheme="majorHAnsi" w:cstheme="majorHAnsi"/>
                <w:sz w:val="24"/>
                <w:szCs w:val="24"/>
              </w:rPr>
              <w:t xml:space="preserve">A l’aide des données du document et de vos connaissances,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présentez la</w:t>
            </w:r>
            <w:r w:rsidRPr="00331D86">
              <w:rPr>
                <w:rFonts w:asciiTheme="majorHAnsi" w:hAnsiTheme="majorHAnsi" w:cstheme="majorHAnsi"/>
                <w:sz w:val="24"/>
                <w:szCs w:val="24"/>
              </w:rPr>
              <w:t xml:space="preserve"> mobilité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sociale </w:t>
            </w:r>
            <w:r w:rsidRPr="00331D86">
              <w:rPr>
                <w:rFonts w:asciiTheme="majorHAnsi" w:hAnsiTheme="majorHAnsi" w:cstheme="majorHAnsi"/>
                <w:sz w:val="24"/>
                <w:szCs w:val="24"/>
              </w:rPr>
              <w:t>des fils en 2015.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40391A83" w14:textId="77777777" w:rsidR="00F77281" w:rsidRPr="0014185C" w:rsidRDefault="00F77281" w:rsidP="0014185C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14185C">
              <w:rPr>
                <w:rFonts w:asciiTheme="majorHAnsi" w:hAnsiTheme="majorHAnsi" w:cstheme="majorHAnsi"/>
                <w:i/>
                <w:sz w:val="24"/>
                <w:szCs w:val="24"/>
              </w:rPr>
              <w:t>(4 points)</w:t>
            </w:r>
          </w:p>
        </w:tc>
        <w:tc>
          <w:tcPr>
            <w:tcW w:w="6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102" w:type="dxa"/>
            </w:tcMar>
            <w:hideMark/>
          </w:tcPr>
          <w:p w14:paraId="69BAE3E9" w14:textId="77777777" w:rsidR="00F77281" w:rsidRPr="002C7332" w:rsidRDefault="00F77281" w:rsidP="00546446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C733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1- Capacité à comprendre le sens de la question </w:t>
            </w:r>
          </w:p>
          <w:p w14:paraId="41C6570F" w14:textId="77777777" w:rsidR="00F77281" w:rsidRPr="00331D86" w:rsidRDefault="00F77281" w:rsidP="0054644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Rendre compte de la mobilité sociale ascendante et descendante en fonction de la catégorie sociale. </w:t>
            </w:r>
          </w:p>
        </w:tc>
        <w:tc>
          <w:tcPr>
            <w:tcW w:w="2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102" w:type="dxa"/>
            </w:tcMar>
            <w:hideMark/>
          </w:tcPr>
          <w:p w14:paraId="7106A620" w14:textId="77777777" w:rsidR="00F77281" w:rsidRPr="00331D86" w:rsidRDefault="00F77281" w:rsidP="0054644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31D8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</w:t>
            </w:r>
            <w:r w:rsidR="00375B9B" w:rsidRPr="00F77281">
              <w:rPr>
                <w:rFonts w:asciiTheme="majorHAnsi" w:hAnsiTheme="majorHAnsi" w:cstheme="majorHAnsi"/>
                <w:iCs/>
                <w:sz w:val="24"/>
                <w:szCs w:val="24"/>
              </w:rPr>
              <w:t>Pré</w:t>
            </w:r>
            <w:r w:rsidR="00375B9B">
              <w:rPr>
                <w:rFonts w:asciiTheme="majorHAnsi" w:hAnsiTheme="majorHAnsi" w:cstheme="majorHAnsi"/>
                <w:iCs/>
                <w:sz w:val="24"/>
                <w:szCs w:val="24"/>
              </w:rPr>
              <w:t>sentation du document pas atten</w:t>
            </w:r>
            <w:r w:rsidR="00375B9B" w:rsidRPr="00F77281">
              <w:rPr>
                <w:rFonts w:asciiTheme="majorHAnsi" w:hAnsiTheme="majorHAnsi" w:cstheme="majorHAnsi"/>
                <w:iCs/>
                <w:sz w:val="24"/>
                <w:szCs w:val="24"/>
              </w:rPr>
              <w:t>due (pas de sanction pour autant)</w:t>
            </w:r>
          </w:p>
        </w:tc>
        <w:tc>
          <w:tcPr>
            <w:tcW w:w="3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102" w:type="dxa"/>
            </w:tcMar>
            <w:hideMark/>
          </w:tcPr>
          <w:p w14:paraId="27200500" w14:textId="77777777" w:rsidR="00F77281" w:rsidRPr="006D62F7" w:rsidRDefault="00375B9B" w:rsidP="006D62F7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iCs/>
                <w:color w:val="FF0000"/>
                <w:sz w:val="24"/>
                <w:szCs w:val="24"/>
              </w:rPr>
            </w:pPr>
            <w:r w:rsidRPr="006D62F7">
              <w:rPr>
                <w:rFonts w:asciiTheme="majorHAnsi" w:hAnsiTheme="majorHAnsi" w:cstheme="majorHAnsi"/>
                <w:i/>
                <w:iCs/>
                <w:color w:val="FF0000"/>
                <w:sz w:val="24"/>
                <w:szCs w:val="24"/>
              </w:rPr>
              <w:t>0,5 point</w:t>
            </w:r>
          </w:p>
        </w:tc>
      </w:tr>
      <w:tr w:rsidR="00F77281" w:rsidRPr="00331D86" w14:paraId="1BE803E2" w14:textId="77777777" w:rsidTr="001F205E">
        <w:trPr>
          <w:trHeight w:val="1319"/>
        </w:trPr>
        <w:tc>
          <w:tcPr>
            <w:tcW w:w="2987" w:type="dxa"/>
            <w:vMerge/>
            <w:tcBorders>
              <w:left w:val="single" w:sz="8" w:space="0" w:color="00000A"/>
              <w:right w:val="single" w:sz="8" w:space="0" w:color="00000A"/>
            </w:tcBorders>
            <w:vAlign w:val="center"/>
            <w:hideMark/>
          </w:tcPr>
          <w:p w14:paraId="69D23A97" w14:textId="77777777" w:rsidR="00F77281" w:rsidRPr="00331D86" w:rsidRDefault="00F77281" w:rsidP="0054644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102" w:type="dxa"/>
            </w:tcMar>
            <w:hideMark/>
          </w:tcPr>
          <w:p w14:paraId="411EAE43" w14:textId="77777777" w:rsidR="00F77281" w:rsidRPr="002C7332" w:rsidRDefault="00F77281" w:rsidP="00546446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C733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2- Capacité à maîtriser l’utilisation des données quantitatives et des représentations graphiques </w:t>
            </w:r>
          </w:p>
          <w:p w14:paraId="51102066" w14:textId="77777777" w:rsidR="00F77281" w:rsidRDefault="00F77281" w:rsidP="0054644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31D86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Lecture de mobilité ascendante et descendante</w:t>
            </w:r>
          </w:p>
          <w:p w14:paraId="72B7BDA5" w14:textId="77777777" w:rsidR="00F77281" w:rsidRPr="00331D86" w:rsidRDefault="00F77281" w:rsidP="0054644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Utilisation des pourcentage de répartition (regroupement entre PCS)</w:t>
            </w:r>
          </w:p>
        </w:tc>
        <w:tc>
          <w:tcPr>
            <w:tcW w:w="2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102" w:type="dxa"/>
            </w:tcMar>
            <w:hideMark/>
          </w:tcPr>
          <w:p w14:paraId="0DF365EB" w14:textId="77777777" w:rsidR="00F77281" w:rsidRPr="00331D86" w:rsidRDefault="00F77281" w:rsidP="0054644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31D8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102" w:type="dxa"/>
            </w:tcMar>
            <w:hideMark/>
          </w:tcPr>
          <w:p w14:paraId="4D99AF54" w14:textId="77777777" w:rsidR="00F77281" w:rsidRPr="006D62F7" w:rsidRDefault="00375B9B" w:rsidP="006D62F7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iCs/>
                <w:color w:val="FF0000"/>
                <w:sz w:val="24"/>
                <w:szCs w:val="24"/>
              </w:rPr>
            </w:pPr>
            <w:r w:rsidRPr="006D62F7">
              <w:rPr>
                <w:rFonts w:asciiTheme="majorHAnsi" w:hAnsiTheme="majorHAnsi" w:cstheme="majorHAnsi"/>
                <w:i/>
                <w:iCs/>
                <w:color w:val="FF0000"/>
                <w:sz w:val="24"/>
                <w:szCs w:val="24"/>
              </w:rPr>
              <w:t>1 point</w:t>
            </w:r>
          </w:p>
        </w:tc>
      </w:tr>
      <w:tr w:rsidR="00F77281" w:rsidRPr="00331D86" w14:paraId="17F6F13E" w14:textId="77777777" w:rsidTr="001F205E">
        <w:trPr>
          <w:trHeight w:val="1319"/>
        </w:trPr>
        <w:tc>
          <w:tcPr>
            <w:tcW w:w="2987" w:type="dxa"/>
            <w:vMerge/>
            <w:tcBorders>
              <w:left w:val="single" w:sz="8" w:space="0" w:color="00000A"/>
              <w:right w:val="single" w:sz="8" w:space="0" w:color="00000A"/>
            </w:tcBorders>
            <w:vAlign w:val="center"/>
            <w:hideMark/>
          </w:tcPr>
          <w:p w14:paraId="2EE9AAD4" w14:textId="77777777" w:rsidR="00F77281" w:rsidRPr="00331D86" w:rsidRDefault="00F77281" w:rsidP="0054644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102" w:type="dxa"/>
            </w:tcMar>
            <w:hideMark/>
          </w:tcPr>
          <w:p w14:paraId="554B438F" w14:textId="77777777" w:rsidR="00F77281" w:rsidRPr="002C7332" w:rsidRDefault="00F77281" w:rsidP="00546446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C733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3- Capacité à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maîtriser les connaissances appropriées</w:t>
            </w:r>
          </w:p>
          <w:p w14:paraId="436B95CC" w14:textId="77777777" w:rsidR="00F77281" w:rsidRDefault="00375B9B" w:rsidP="0054644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Signification table de destinée, </w:t>
            </w:r>
          </w:p>
          <w:p w14:paraId="115E8C94" w14:textId="77777777" w:rsidR="00375B9B" w:rsidRDefault="00375B9B" w:rsidP="0054644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Utilisation du vocabulaire approprié (MS ascendante/descendante, déclassement)</w:t>
            </w:r>
          </w:p>
          <w:p w14:paraId="7343B898" w14:textId="77777777" w:rsidR="00F77281" w:rsidRPr="00331D86" w:rsidRDefault="00375B9B" w:rsidP="0054644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Recoupement entre PCS</w:t>
            </w:r>
          </w:p>
        </w:tc>
        <w:tc>
          <w:tcPr>
            <w:tcW w:w="2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102" w:type="dxa"/>
            </w:tcMar>
            <w:hideMark/>
          </w:tcPr>
          <w:p w14:paraId="080D8D38" w14:textId="77777777" w:rsidR="00F77281" w:rsidRPr="00331D86" w:rsidRDefault="00F77281" w:rsidP="0054644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31D8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102" w:type="dxa"/>
            </w:tcMar>
            <w:hideMark/>
          </w:tcPr>
          <w:p w14:paraId="0AEF4356" w14:textId="77777777" w:rsidR="00F77281" w:rsidRPr="006D62F7" w:rsidRDefault="00375B9B" w:rsidP="006D62F7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iCs/>
                <w:color w:val="FF0000"/>
                <w:sz w:val="24"/>
                <w:szCs w:val="24"/>
              </w:rPr>
            </w:pPr>
            <w:r w:rsidRPr="006D62F7">
              <w:rPr>
                <w:rFonts w:asciiTheme="majorHAnsi" w:hAnsiTheme="majorHAnsi" w:cstheme="majorHAnsi"/>
                <w:i/>
                <w:iCs/>
                <w:color w:val="FF0000"/>
                <w:sz w:val="24"/>
                <w:szCs w:val="24"/>
              </w:rPr>
              <w:t>2 points</w:t>
            </w:r>
          </w:p>
        </w:tc>
      </w:tr>
      <w:tr w:rsidR="00F77281" w:rsidRPr="00331D86" w14:paraId="5D7D0679" w14:textId="77777777" w:rsidTr="00375B9B">
        <w:trPr>
          <w:trHeight w:val="768"/>
        </w:trPr>
        <w:tc>
          <w:tcPr>
            <w:tcW w:w="2987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791976F" w14:textId="77777777" w:rsidR="00F77281" w:rsidRPr="00331D86" w:rsidRDefault="00F77281" w:rsidP="0054644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102" w:type="dxa"/>
            </w:tcMar>
          </w:tcPr>
          <w:p w14:paraId="276B7B35" w14:textId="77777777" w:rsidR="00F77281" w:rsidRDefault="00F77281" w:rsidP="00F77281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4– Capacité à organiser sa réponse de manière cohérente</w:t>
            </w:r>
          </w:p>
          <w:p w14:paraId="616259B9" w14:textId="77777777" w:rsidR="00375B9B" w:rsidRPr="00375B9B" w:rsidRDefault="00375B9B" w:rsidP="00F77281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75B9B">
              <w:rPr>
                <w:rFonts w:asciiTheme="majorHAnsi" w:hAnsiTheme="majorHAnsi" w:cstheme="majorHAnsi"/>
                <w:sz w:val="24"/>
                <w:szCs w:val="24"/>
              </w:rPr>
              <w:t>Réponse organisée sous forme de paragraphe argumenté (AEI)</w:t>
            </w:r>
          </w:p>
        </w:tc>
        <w:tc>
          <w:tcPr>
            <w:tcW w:w="2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102" w:type="dxa"/>
            </w:tcMar>
          </w:tcPr>
          <w:p w14:paraId="1518F443" w14:textId="77777777" w:rsidR="00F77281" w:rsidRPr="00331D86" w:rsidRDefault="00F77281" w:rsidP="0054644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102" w:type="dxa"/>
            </w:tcMar>
          </w:tcPr>
          <w:p w14:paraId="795F70F3" w14:textId="77777777" w:rsidR="00F77281" w:rsidRPr="006D62F7" w:rsidRDefault="00375B9B" w:rsidP="006D62F7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iCs/>
                <w:color w:val="FF0000"/>
                <w:sz w:val="24"/>
                <w:szCs w:val="24"/>
              </w:rPr>
            </w:pPr>
            <w:r w:rsidRPr="006D62F7">
              <w:rPr>
                <w:rFonts w:asciiTheme="majorHAnsi" w:hAnsiTheme="majorHAnsi" w:cstheme="majorHAnsi"/>
                <w:i/>
                <w:iCs/>
                <w:color w:val="FF0000"/>
                <w:sz w:val="24"/>
                <w:szCs w:val="24"/>
              </w:rPr>
              <w:t>0,5 point</w:t>
            </w:r>
          </w:p>
        </w:tc>
      </w:tr>
    </w:tbl>
    <w:p w14:paraId="206E34E3" w14:textId="77777777" w:rsidR="00915762" w:rsidRDefault="00915762" w:rsidP="00C641C7">
      <w:pPr>
        <w:tabs>
          <w:tab w:val="left" w:pos="8473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</w:p>
    <w:p w14:paraId="77311051" w14:textId="77777777" w:rsidR="001C52DB" w:rsidRDefault="001C52DB" w:rsidP="00C641C7">
      <w:pPr>
        <w:tabs>
          <w:tab w:val="left" w:pos="8473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</w:p>
    <w:p w14:paraId="69B4DCED" w14:textId="58B7B258" w:rsidR="001C52DB" w:rsidRDefault="001C52DB" w:rsidP="00C641C7">
      <w:pPr>
        <w:tabs>
          <w:tab w:val="left" w:pos="8473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1C52DB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lastRenderedPageBreak/>
        <w:t>EC2</w:t>
      </w:r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– (</w:t>
      </w:r>
      <w:r w:rsidR="00D41E6A">
        <w:rPr>
          <w:rFonts w:asciiTheme="majorHAnsi" w:eastAsia="Times New Roman" w:hAnsiTheme="majorHAnsi" w:cstheme="majorHAnsi"/>
          <w:sz w:val="24"/>
          <w:szCs w:val="24"/>
          <w:lang w:eastAsia="fr-FR"/>
        </w:rPr>
        <w:t>Bordas Doc.2 p.246 : La table de destinée en 2015</w:t>
      </w:r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>)</w:t>
      </w:r>
    </w:p>
    <w:p w14:paraId="57E01A80" w14:textId="676180DB" w:rsidR="001C52DB" w:rsidRDefault="001C52DB" w:rsidP="001C52DB">
      <w:pPr>
        <w:tabs>
          <w:tab w:val="left" w:pos="8473"/>
        </w:tabs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>
        <w:rPr>
          <w:noProof/>
        </w:rPr>
        <w:drawing>
          <wp:inline distT="0" distB="0" distL="0" distR="0" wp14:anchorId="42242AF9" wp14:editId="009175D1">
            <wp:extent cx="7981950" cy="30099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819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D2605" w14:textId="34A550E0" w:rsidR="001C52DB" w:rsidRDefault="001C52DB" w:rsidP="001C52D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C52DB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Q1</w:t>
      </w:r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– </w:t>
      </w:r>
      <w:r w:rsidRPr="00331D86">
        <w:rPr>
          <w:rFonts w:asciiTheme="majorHAnsi" w:hAnsiTheme="majorHAnsi" w:cstheme="majorHAnsi"/>
          <w:sz w:val="24"/>
          <w:szCs w:val="24"/>
        </w:rPr>
        <w:t xml:space="preserve">A </w:t>
      </w:r>
      <w:r>
        <w:rPr>
          <w:rFonts w:asciiTheme="majorHAnsi" w:hAnsiTheme="majorHAnsi" w:cstheme="majorHAnsi"/>
          <w:sz w:val="24"/>
          <w:szCs w:val="24"/>
        </w:rPr>
        <w:t xml:space="preserve">l’aide des données du document, caractérisez le phénomène de reproduction sociale. </w:t>
      </w:r>
    </w:p>
    <w:p w14:paraId="229938AA" w14:textId="11D71381" w:rsidR="001C52DB" w:rsidRPr="001C52DB" w:rsidRDefault="001C52DB" w:rsidP="001C52D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C52DB">
        <w:rPr>
          <w:rFonts w:asciiTheme="majorHAnsi" w:hAnsiTheme="majorHAnsi" w:cstheme="majorHAnsi"/>
          <w:b/>
          <w:bCs/>
          <w:sz w:val="24"/>
          <w:szCs w:val="24"/>
        </w:rPr>
        <w:t>Q2</w:t>
      </w:r>
      <w:r>
        <w:rPr>
          <w:rFonts w:asciiTheme="majorHAnsi" w:hAnsiTheme="majorHAnsi" w:cstheme="majorHAnsi"/>
          <w:sz w:val="24"/>
          <w:szCs w:val="24"/>
        </w:rPr>
        <w:t xml:space="preserve"> – </w:t>
      </w:r>
      <w:r w:rsidRPr="00331D86">
        <w:rPr>
          <w:rFonts w:asciiTheme="majorHAnsi" w:hAnsiTheme="majorHAnsi" w:cstheme="majorHAnsi"/>
          <w:sz w:val="24"/>
          <w:szCs w:val="24"/>
        </w:rPr>
        <w:t xml:space="preserve">A l’aide des données du document et de vos connaissances, </w:t>
      </w:r>
      <w:r>
        <w:rPr>
          <w:rFonts w:asciiTheme="majorHAnsi" w:hAnsiTheme="majorHAnsi" w:cstheme="majorHAnsi"/>
          <w:sz w:val="24"/>
          <w:szCs w:val="24"/>
        </w:rPr>
        <w:t>présentez la</w:t>
      </w:r>
      <w:r w:rsidRPr="00331D86">
        <w:rPr>
          <w:rFonts w:asciiTheme="majorHAnsi" w:hAnsiTheme="majorHAnsi" w:cstheme="majorHAnsi"/>
          <w:sz w:val="24"/>
          <w:szCs w:val="24"/>
        </w:rPr>
        <w:t xml:space="preserve"> mobilité </w:t>
      </w:r>
      <w:r>
        <w:rPr>
          <w:rFonts w:asciiTheme="majorHAnsi" w:hAnsiTheme="majorHAnsi" w:cstheme="majorHAnsi"/>
          <w:sz w:val="24"/>
          <w:szCs w:val="24"/>
        </w:rPr>
        <w:t xml:space="preserve">sociale </w:t>
      </w:r>
      <w:r w:rsidRPr="00331D86">
        <w:rPr>
          <w:rFonts w:asciiTheme="majorHAnsi" w:hAnsiTheme="majorHAnsi" w:cstheme="majorHAnsi"/>
          <w:sz w:val="24"/>
          <w:szCs w:val="24"/>
        </w:rPr>
        <w:t>des fils en 2015.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7C9CA05" w14:textId="304894B5" w:rsidR="008F2927" w:rsidRPr="00331D86" w:rsidRDefault="008F2927" w:rsidP="001C52D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br w:type="page"/>
      </w:r>
    </w:p>
    <w:p w14:paraId="2357EED8" w14:textId="77777777" w:rsidR="00D41E6A" w:rsidRPr="008F2927" w:rsidRDefault="00D41E6A" w:rsidP="008F2927">
      <w:pPr>
        <w:rPr>
          <w:rFonts w:asciiTheme="majorHAnsi" w:eastAsia="Times New Roman" w:hAnsiTheme="majorHAnsi" w:cstheme="majorHAnsi"/>
          <w:b/>
          <w:bCs/>
          <w:color w:val="404040"/>
          <w:sz w:val="24"/>
          <w:szCs w:val="24"/>
          <w:lang w:eastAsia="fr-FR"/>
        </w:rPr>
      </w:pPr>
    </w:p>
    <w:sectPr w:rsidR="00D41E6A" w:rsidRPr="008F2927" w:rsidSect="00520D1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A1064"/>
    <w:multiLevelType w:val="hybridMultilevel"/>
    <w:tmpl w:val="3A5C405E"/>
    <w:lvl w:ilvl="0" w:tplc="4DF89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A60ED"/>
    <w:multiLevelType w:val="hybridMultilevel"/>
    <w:tmpl w:val="3BAE02CA"/>
    <w:lvl w:ilvl="0" w:tplc="02FE19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D10E4"/>
    <w:multiLevelType w:val="hybridMultilevel"/>
    <w:tmpl w:val="5562F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93620"/>
    <w:multiLevelType w:val="hybridMultilevel"/>
    <w:tmpl w:val="3A5C405E"/>
    <w:lvl w:ilvl="0" w:tplc="4DF89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C18C2"/>
    <w:multiLevelType w:val="hybridMultilevel"/>
    <w:tmpl w:val="A3DA5972"/>
    <w:lvl w:ilvl="0" w:tplc="BE78B384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4317CB"/>
    <w:multiLevelType w:val="hybridMultilevel"/>
    <w:tmpl w:val="6400ADC6"/>
    <w:lvl w:ilvl="0" w:tplc="02FE19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66488"/>
    <w:multiLevelType w:val="hybridMultilevel"/>
    <w:tmpl w:val="315ACA72"/>
    <w:lvl w:ilvl="0" w:tplc="690A09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0673D"/>
    <w:multiLevelType w:val="hybridMultilevel"/>
    <w:tmpl w:val="D420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486"/>
    <w:rsid w:val="00036B51"/>
    <w:rsid w:val="0014185C"/>
    <w:rsid w:val="001C52DB"/>
    <w:rsid w:val="002C0855"/>
    <w:rsid w:val="002C7332"/>
    <w:rsid w:val="00331D86"/>
    <w:rsid w:val="00375B9B"/>
    <w:rsid w:val="00520D1D"/>
    <w:rsid w:val="005556EF"/>
    <w:rsid w:val="005F6A1F"/>
    <w:rsid w:val="006D62F7"/>
    <w:rsid w:val="00744954"/>
    <w:rsid w:val="007C6F40"/>
    <w:rsid w:val="00886486"/>
    <w:rsid w:val="008E1366"/>
    <w:rsid w:val="008F2927"/>
    <w:rsid w:val="00915762"/>
    <w:rsid w:val="00A213D3"/>
    <w:rsid w:val="00A5015F"/>
    <w:rsid w:val="00C641C7"/>
    <w:rsid w:val="00D23F40"/>
    <w:rsid w:val="00D41E6A"/>
    <w:rsid w:val="00EC454E"/>
    <w:rsid w:val="00F7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7079"/>
  <w15:chartTrackingRefBased/>
  <w15:docId w15:val="{8E55D176-FA37-4D64-B201-ABE0D718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9157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6486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91576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15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2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576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Jules HAAG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PROFIL</dc:creator>
  <cp:keywords/>
  <dc:description/>
  <cp:lastModifiedBy>Romain</cp:lastModifiedBy>
  <cp:revision>7</cp:revision>
  <dcterms:created xsi:type="dcterms:W3CDTF">2020-10-15T12:09:00Z</dcterms:created>
  <dcterms:modified xsi:type="dcterms:W3CDTF">2020-11-13T16:48:00Z</dcterms:modified>
</cp:coreProperties>
</file>