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DE2AB" w14:textId="018675C7" w:rsidR="004479A8" w:rsidRPr="00A8388A" w:rsidRDefault="00421304">
      <w:pPr>
        <w:rPr>
          <w:i/>
          <w:iCs/>
          <w:color w:val="auto"/>
          <w:spacing w:val="5"/>
          <w:sz w:val="24"/>
          <w:szCs w:val="24"/>
        </w:rPr>
      </w:pPr>
      <w:r w:rsidRPr="00A8388A">
        <w:rPr>
          <w:i/>
          <w:iCs/>
          <w:smallCaps/>
          <w:noProof/>
          <w:color w:val="auto"/>
          <w:spacing w:val="5"/>
          <w:sz w:val="24"/>
          <w:szCs w:val="24"/>
        </w:rPr>
        <mc:AlternateContent>
          <mc:Choice Requires="wps">
            <w:drawing>
              <wp:anchor distT="0" distB="0" distL="114300" distR="114300" simplePos="0" relativeHeight="251672576" behindDoc="0" locked="0" layoutInCell="0" allowOverlap="1" wp14:anchorId="3FFE7C56" wp14:editId="4614D958">
                <wp:simplePos x="0" y="0"/>
                <wp:positionH relativeFrom="margin">
                  <wp:posOffset>-19685</wp:posOffset>
                </wp:positionH>
                <wp:positionV relativeFrom="page">
                  <wp:posOffset>2540000</wp:posOffset>
                </wp:positionV>
                <wp:extent cx="4532630" cy="5619750"/>
                <wp:effectExtent l="0" t="0" r="0" b="0"/>
                <wp:wrapNone/>
                <wp:docPr id="7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2630" cy="5619750"/>
                        </a:xfrm>
                        <a:prstGeom prst="rect">
                          <a:avLst/>
                        </a:prstGeom>
                        <a:noFill/>
                        <a:ln>
                          <a:noFill/>
                        </a:ln>
                      </wps:spPr>
                      <wps:txbx>
                        <w:txbxContent>
                          <w:p w14:paraId="254ADEEF" w14:textId="77777777" w:rsidR="008C2ED9" w:rsidRDefault="00CD5734">
                            <w:pPr>
                              <w:rPr>
                                <w:smallCaps/>
                                <w:color w:val="004E6C"/>
                                <w:spacing w:val="20"/>
                                <w:sz w:val="56"/>
                                <w:szCs w:val="56"/>
                              </w:rPr>
                            </w:pPr>
                            <w:sdt>
                              <w:sdtPr>
                                <w:alias w:val="Titre"/>
                                <w:id w:val="83737007"/>
                              </w:sdtPr>
                              <w:sdtEndPr/>
                              <w:sdtContent>
                                <w:r w:rsidR="008C2ED9">
                                  <w:rPr>
                                    <w:smallCaps/>
                                    <w:color w:val="004E6C" w:themeColor="accent2" w:themeShade="80"/>
                                    <w:spacing w:val="20"/>
                                    <w:sz w:val="56"/>
                                    <w:szCs w:val="56"/>
                                  </w:rPr>
                                  <w:t>Le travail en France : éléments de comparaison internationale</w:t>
                                </w:r>
                              </w:sdtContent>
                            </w:sdt>
                          </w:p>
                          <w:p w14:paraId="44573FA8" w14:textId="77777777" w:rsidR="008C2ED9" w:rsidRDefault="00CD5734">
                            <w:pPr>
                              <w:rPr>
                                <w:i/>
                                <w:iCs/>
                                <w:color w:val="004E6C"/>
                                <w:sz w:val="28"/>
                                <w:szCs w:val="28"/>
                              </w:rPr>
                            </w:pPr>
                            <w:sdt>
                              <w:sdtPr>
                                <w:alias w:val="Sous-titre"/>
                                <w:id w:val="83737009"/>
                              </w:sdtPr>
                              <w:sdtEndPr/>
                              <w:sdtContent>
                                <w:r w:rsidR="008C2ED9">
                                  <w:rPr>
                                    <w:i/>
                                    <w:iCs/>
                                    <w:color w:val="004E6C" w:themeColor="accent2" w:themeShade="80"/>
                                    <w:sz w:val="28"/>
                                    <w:szCs w:val="28"/>
                                  </w:rPr>
                                  <w:t>Conférence de Pierre-Michel MENGER, professeur de sociologie, Collège de France</w:t>
                                </w:r>
                              </w:sdtContent>
                            </w:sdt>
                          </w:p>
                          <w:p w14:paraId="6231D8C9" w14:textId="77777777" w:rsidR="008C2ED9" w:rsidRDefault="008C2ED9">
                            <w:pPr>
                              <w:rPr>
                                <w:i/>
                                <w:iCs/>
                                <w:color w:val="004E6C"/>
                                <w:sz w:val="28"/>
                                <w:szCs w:val="28"/>
                              </w:rPr>
                            </w:pPr>
                          </w:p>
                          <w:p w14:paraId="2D567F2C" w14:textId="0A491DF0" w:rsidR="008C2ED9" w:rsidRPr="00906E3F" w:rsidRDefault="00CD5734" w:rsidP="00724666">
                            <w:pPr>
                              <w:jc w:val="both"/>
                            </w:pPr>
                            <w:sdt>
                              <w:sdtPr>
                                <w:alias w:val="Résumé"/>
                                <w:id w:val="83737011"/>
                              </w:sdtPr>
                              <w:sdtEndPr/>
                              <w:sdtContent>
                                <w:r w:rsidR="008C2ED9" w:rsidRPr="00724666">
                                  <w:t>[</w:t>
                                </w:r>
                                <w:r w:rsidR="008C2ED9" w:rsidRPr="00906E3F">
                                  <w:t>Après avoir défini ce que l'on pouvait entendre par l'objet "travail", P</w:t>
                                </w:r>
                                <w:r w:rsidR="004619B0" w:rsidRPr="00906E3F">
                                  <w:t>.</w:t>
                                </w:r>
                                <w:r w:rsidR="008C2ED9" w:rsidRPr="00906E3F">
                                  <w:t>M</w:t>
                                </w:r>
                                <w:r w:rsidR="004619B0" w:rsidRPr="00906E3F">
                                  <w:t>.</w:t>
                                </w:r>
                                <w:r w:rsidR="008C2ED9" w:rsidRPr="00906E3F">
                                  <w:t xml:space="preserve"> Menger </w:t>
                                </w:r>
                                <w:r w:rsidR="00A053DE" w:rsidRPr="00906E3F">
                                  <w:t xml:space="preserve">analyse et interroge la doctrine welfariste developpée en France à l’égard du travail. Ce faisant, il met en évidence </w:t>
                                </w:r>
                                <w:r w:rsidR="00A8388A" w:rsidRPr="00906E3F">
                                  <w:t>un paradoxe français</w:t>
                                </w:r>
                                <w:r w:rsidR="000E6F29" w:rsidRPr="00906E3F">
                                  <w:t xml:space="preserve"> </w:t>
                                </w:r>
                                <w:r w:rsidR="00A8388A" w:rsidRPr="00906E3F">
                                  <w:t>:</w:t>
                                </w:r>
                                <w:r w:rsidR="00A053DE" w:rsidRPr="00906E3F">
                                  <w:t xml:space="preserve"> les Français accordent beaucoup d’importance au travail (vu comme un moyen d’accomplissement personnel) et pourtant </w:t>
                                </w:r>
                                <w:r w:rsidR="00B13058">
                                  <w:t>certaines réalités du marché du travail en France</w:t>
                                </w:r>
                                <w:r w:rsidR="00A053DE" w:rsidRPr="00906E3F">
                                  <w:t xml:space="preserve"> ne correspondent pas à l’idée selon laquelle plus on a de travail, mieux on se porte. </w:t>
                                </w:r>
                                <w:r w:rsidR="00A8388A" w:rsidRPr="00906E3F">
                                  <w:t xml:space="preserve">Pour ce faire, P.M. Menger </w:t>
                                </w:r>
                                <w:r w:rsidR="008C2ED9" w:rsidRPr="00906E3F">
                                  <w:t>partag</w:t>
                                </w:r>
                                <w:r w:rsidR="00A8388A" w:rsidRPr="00906E3F">
                                  <w:t xml:space="preserve">e </w:t>
                                </w:r>
                                <w:r w:rsidR="008C2ED9" w:rsidRPr="00906E3F">
                                  <w:t>de très nombreuses références qui permettent de retrouver des données statistiques dont la mise en forme peut être interactive et de nature très variée</w:t>
                                </w:r>
                                <w:r w:rsidR="00A8388A" w:rsidRPr="00906E3F">
                                  <w:t xml:space="preserve">. Ces données </w:t>
                                </w:r>
                                <w:r w:rsidR="008C2ED9" w:rsidRPr="00906E3F">
                                  <w:t xml:space="preserve">balaient l'état du travail en France comparativement aux autres pays de l'OCDE : quantité de travail, coût du travail, </w:t>
                                </w:r>
                                <w:r w:rsidR="00A8388A" w:rsidRPr="00906E3F">
                                  <w:t xml:space="preserve">qualification de la main-d’œuvre, </w:t>
                                </w:r>
                                <w:r w:rsidR="008C2ED9" w:rsidRPr="00906E3F">
                                  <w:t xml:space="preserve">bénéfices attendus </w:t>
                                </w:r>
                                <w:r w:rsidR="00A8388A" w:rsidRPr="00906E3F">
                                  <w:t xml:space="preserve">du travail </w:t>
                                </w:r>
                                <w:r w:rsidR="008C2ED9" w:rsidRPr="00906E3F">
                                  <w:t>par les salariés, satisfaction et insatisfaction au travail, etc.]</w:t>
                                </w:r>
                              </w:sdtContent>
                            </w:sdt>
                          </w:p>
                        </w:txbxContent>
                      </wps:txbx>
                      <wps:bodyPr rot="0" vert="horz" wrap="square" lIns="91440" tIns="45720" rIns="91440" bIns="45720" anchor="ctr" anchorCtr="0" upright="1">
                        <a:noAutofit/>
                      </wps:bodyPr>
                    </wps:wsp>
                  </a:graphicData>
                </a:graphic>
                <wp14:sizeRelH relativeFrom="page">
                  <wp14:pctWidth>60000</wp14:pctWidth>
                </wp14:sizeRelH>
                <wp14:sizeRelV relativeFrom="page">
                  <wp14:pctHeight>0</wp14:pctHeight>
                </wp14:sizeRelV>
              </wp:anchor>
            </w:drawing>
          </mc:Choice>
          <mc:Fallback>
            <w:pict>
              <v:rect w14:anchorId="3FFE7C56" id="Rectangle 89" o:spid="_x0000_s1026" style="position:absolute;margin-left:-1.55pt;margin-top:200pt;width:356.9pt;height:442.5pt;z-index:251672576;visibility:visible;mso-wrap-style:square;mso-width-percent:600;mso-height-percent:0;mso-wrap-distance-left:9pt;mso-wrap-distance-top:0;mso-wrap-distance-right:9pt;mso-wrap-distance-bottom:0;mso-position-horizontal:absolute;mso-position-horizontal-relative:margin;mso-position-vertical:absolute;mso-position-vertical-relative:page;mso-width-percent:6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WXa8gEAAMIDAAAOAAAAZHJzL2Uyb0RvYy54bWysU11v0zAUfUfiP1h+p2m6fqxR02naNIQ0&#10;YGLwAxzHbiwSX3PtNim/nmunKx28IV6s3A8fn3PuzeZm6Fp2UOgN2JLnkylnykqojd2V/NvXh3fX&#10;nPkgbC1asKrkR+X5zfbtm03vCjWDBtpaISMQ64velbwJwRVZ5mWjOuEn4JSlogbsRKAQd1mNoif0&#10;rs1m0+ky6wFrhyCV95S9H4t8m/C1VjJ81tqrwNqSE7eQTkxnFc9suxHFDoVrjDzREP/AohPG0qNn&#10;qHsRBNuj+QuqMxLBgw4TCV0GWhupkgZSk0//UPPcCKeSFjLHu7NN/v/Byk+HJ2SmLvlqyZkVHc3o&#10;C7km7K5V7HodDeqdL6jv2T1hlOjdI8jvnlm4a6hN3SJC3yhRE6089mevLsTA01VW9R+hJnixD5C8&#10;GjR2EZBcYEMayfE8EjUEJik5X1zNllc0OUm1xTJfrxZpaJkoXq479OG9go7Fj5IjsU/w4vDoQ6Qj&#10;ipeW+JqFB9O2ae6tfZWgxphJ9CPjUXkYquFkQgX1kYQgjGtEa08fDeBPznpaoZL7H3uBirP2gyUz&#10;1vl8HncuBfPFakYBXlaqy4qwkqBKLgNyNgZ3YdzUvUOza+itPAmzcEsWapPERXtHXifmtChJ82mp&#10;4yZexqnr96+3/QUAAP//AwBQSwMEFAAGAAgAAAAhANaEvRjhAAAACwEAAA8AAABkcnMvZG93bnJl&#10;di54bWxMj0FPwkAQhe8m/ofNmHghsFtEaGq3hJh4US+gCdehu7TV7mzT3ULl1zue8DiZL+99L1+P&#10;rhUn24fGk4ZkpkBYKr1pqNLw+fEyTUGEiGSw9WQ1/NgA6+L2JsfM+DNt7WkXK8EhFDLUUMfYZVKG&#10;srYOw8x3lvh39L3DyGdfSdPjmcNdK+dKLaXDhrihxs4+17b83g1Ow+S4iJv3oZ58Da/7Jm7fLpTi&#10;Rev7u3HzBCLaMV5h+NNndSjY6eAHMkG0GqYPCZMaFkrxJgZWiVqBODA5Tx8VyCKX/zcUvwAAAP//&#10;AwBQSwECLQAUAAYACAAAACEAtoM4kv4AAADhAQAAEwAAAAAAAAAAAAAAAAAAAAAAW0NvbnRlbnRf&#10;VHlwZXNdLnhtbFBLAQItABQABgAIAAAAIQA4/SH/1gAAAJQBAAALAAAAAAAAAAAAAAAAAC8BAABf&#10;cmVscy8ucmVsc1BLAQItABQABgAIAAAAIQBYkWXa8gEAAMIDAAAOAAAAAAAAAAAAAAAAAC4CAABk&#10;cnMvZTJvRG9jLnhtbFBLAQItABQABgAIAAAAIQDWhL0Y4QAAAAsBAAAPAAAAAAAAAAAAAAAAAEwE&#10;AABkcnMvZG93bnJldi54bWxQSwUGAAAAAAQABADzAAAAWgUAAAAA&#10;" o:allowincell="f" filled="f" stroked="f">
                <v:textbox>
                  <w:txbxContent>
                    <w:p w14:paraId="254ADEEF" w14:textId="77777777" w:rsidR="008C2ED9" w:rsidRDefault="00CD5734">
                      <w:pPr>
                        <w:rPr>
                          <w:smallCaps/>
                          <w:color w:val="004E6C"/>
                          <w:spacing w:val="20"/>
                          <w:sz w:val="56"/>
                          <w:szCs w:val="56"/>
                        </w:rPr>
                      </w:pPr>
                      <w:sdt>
                        <w:sdtPr>
                          <w:alias w:val="Titre"/>
                          <w:id w:val="83737007"/>
                        </w:sdtPr>
                        <w:sdtEndPr/>
                        <w:sdtContent>
                          <w:r w:rsidR="008C2ED9">
                            <w:rPr>
                              <w:smallCaps/>
                              <w:color w:val="004E6C" w:themeColor="accent2" w:themeShade="80"/>
                              <w:spacing w:val="20"/>
                              <w:sz w:val="56"/>
                              <w:szCs w:val="56"/>
                            </w:rPr>
                            <w:t>Le travail en France : éléments de comparaison internationale</w:t>
                          </w:r>
                        </w:sdtContent>
                      </w:sdt>
                    </w:p>
                    <w:p w14:paraId="44573FA8" w14:textId="77777777" w:rsidR="008C2ED9" w:rsidRDefault="00CD5734">
                      <w:pPr>
                        <w:rPr>
                          <w:i/>
                          <w:iCs/>
                          <w:color w:val="004E6C"/>
                          <w:sz w:val="28"/>
                          <w:szCs w:val="28"/>
                        </w:rPr>
                      </w:pPr>
                      <w:sdt>
                        <w:sdtPr>
                          <w:alias w:val="Sous-titre"/>
                          <w:id w:val="83737009"/>
                        </w:sdtPr>
                        <w:sdtEndPr/>
                        <w:sdtContent>
                          <w:r w:rsidR="008C2ED9">
                            <w:rPr>
                              <w:i/>
                              <w:iCs/>
                              <w:color w:val="004E6C" w:themeColor="accent2" w:themeShade="80"/>
                              <w:sz w:val="28"/>
                              <w:szCs w:val="28"/>
                            </w:rPr>
                            <w:t>Conférence de Pierre-Michel MENGER, professeur de sociologie, Collège de France</w:t>
                          </w:r>
                        </w:sdtContent>
                      </w:sdt>
                    </w:p>
                    <w:p w14:paraId="6231D8C9" w14:textId="77777777" w:rsidR="008C2ED9" w:rsidRDefault="008C2ED9">
                      <w:pPr>
                        <w:rPr>
                          <w:i/>
                          <w:iCs/>
                          <w:color w:val="004E6C"/>
                          <w:sz w:val="28"/>
                          <w:szCs w:val="28"/>
                        </w:rPr>
                      </w:pPr>
                    </w:p>
                    <w:p w14:paraId="2D567F2C" w14:textId="0A491DF0" w:rsidR="008C2ED9" w:rsidRPr="00906E3F" w:rsidRDefault="00CD5734" w:rsidP="00724666">
                      <w:pPr>
                        <w:jc w:val="both"/>
                      </w:pPr>
                      <w:sdt>
                        <w:sdtPr>
                          <w:alias w:val="Résumé"/>
                          <w:id w:val="83737011"/>
                        </w:sdtPr>
                        <w:sdtEndPr/>
                        <w:sdtContent>
                          <w:r w:rsidR="008C2ED9" w:rsidRPr="00724666">
                            <w:t>[</w:t>
                          </w:r>
                          <w:r w:rsidR="008C2ED9" w:rsidRPr="00906E3F">
                            <w:t>Après avoir défini ce que l'on pouvait entendre par l'objet "travail", P</w:t>
                          </w:r>
                          <w:r w:rsidR="004619B0" w:rsidRPr="00906E3F">
                            <w:t>.</w:t>
                          </w:r>
                          <w:r w:rsidR="008C2ED9" w:rsidRPr="00906E3F">
                            <w:t>M</w:t>
                          </w:r>
                          <w:r w:rsidR="004619B0" w:rsidRPr="00906E3F">
                            <w:t>.</w:t>
                          </w:r>
                          <w:r w:rsidR="008C2ED9" w:rsidRPr="00906E3F">
                            <w:t xml:space="preserve"> Menger </w:t>
                          </w:r>
                          <w:r w:rsidR="00A053DE" w:rsidRPr="00906E3F">
                            <w:t xml:space="preserve">analyse et interroge la doctrine welfariste developpée en France à l’égard du travail. Ce faisant, il met en évidence </w:t>
                          </w:r>
                          <w:r w:rsidR="00A8388A" w:rsidRPr="00906E3F">
                            <w:t>un paradoxe français</w:t>
                          </w:r>
                          <w:r w:rsidR="000E6F29" w:rsidRPr="00906E3F">
                            <w:t xml:space="preserve"> </w:t>
                          </w:r>
                          <w:r w:rsidR="00A8388A" w:rsidRPr="00906E3F">
                            <w:t>:</w:t>
                          </w:r>
                          <w:r w:rsidR="00A053DE" w:rsidRPr="00906E3F">
                            <w:t xml:space="preserve"> les Français accordent beaucoup d’importance au travail (vu comme un moyen d’accomplissement personnel) et pourtant </w:t>
                          </w:r>
                          <w:r w:rsidR="00B13058">
                            <w:t>certaines réalités du marché du travail en France</w:t>
                          </w:r>
                          <w:r w:rsidR="00A053DE" w:rsidRPr="00906E3F">
                            <w:t xml:space="preserve"> ne correspondent pas à l’idée selon laquelle plus on a de travail, mieux on se porte. </w:t>
                          </w:r>
                          <w:r w:rsidR="00A8388A" w:rsidRPr="00906E3F">
                            <w:t xml:space="preserve">Pour ce faire, P.M. Menger </w:t>
                          </w:r>
                          <w:r w:rsidR="008C2ED9" w:rsidRPr="00906E3F">
                            <w:t>partag</w:t>
                          </w:r>
                          <w:r w:rsidR="00A8388A" w:rsidRPr="00906E3F">
                            <w:t xml:space="preserve">e </w:t>
                          </w:r>
                          <w:r w:rsidR="008C2ED9" w:rsidRPr="00906E3F">
                            <w:t>de très nombreuses références qui permettent de retrouver des données statistiques dont la mise en forme peut être interactive et de nature très variée</w:t>
                          </w:r>
                          <w:r w:rsidR="00A8388A" w:rsidRPr="00906E3F">
                            <w:t xml:space="preserve">. Ces données </w:t>
                          </w:r>
                          <w:r w:rsidR="008C2ED9" w:rsidRPr="00906E3F">
                            <w:t xml:space="preserve">balaient l'état du travail en France comparativement aux autres pays de l'OCDE : quantité de travail, coût du travail, </w:t>
                          </w:r>
                          <w:r w:rsidR="00A8388A" w:rsidRPr="00906E3F">
                            <w:t xml:space="preserve">qualification de la main-d’œuvre, </w:t>
                          </w:r>
                          <w:r w:rsidR="008C2ED9" w:rsidRPr="00906E3F">
                            <w:t xml:space="preserve">bénéfices attendus </w:t>
                          </w:r>
                          <w:r w:rsidR="00A8388A" w:rsidRPr="00906E3F">
                            <w:t xml:space="preserve">du travail </w:t>
                          </w:r>
                          <w:r w:rsidR="008C2ED9" w:rsidRPr="00906E3F">
                            <w:t>par les salariés, satisfaction et insatisfaction au travail, etc.]</w:t>
                          </w:r>
                        </w:sdtContent>
                      </w:sdt>
                    </w:p>
                  </w:txbxContent>
                </v:textbox>
                <w10:wrap anchorx="margin" anchory="page"/>
              </v:rect>
            </w:pict>
          </mc:Fallback>
        </mc:AlternateContent>
      </w:r>
      <w:sdt>
        <w:sdtPr>
          <w:rPr>
            <w:color w:val="auto"/>
          </w:rPr>
          <w:id w:val="-689369987"/>
        </w:sdtPr>
        <w:sdtEndPr/>
        <w:sdtContent>
          <w:r w:rsidRPr="00A8388A">
            <w:rPr>
              <w:i/>
              <w:iCs/>
              <w:smallCaps/>
              <w:noProof/>
              <w:color w:val="auto"/>
              <w:spacing w:val="5"/>
              <w:sz w:val="24"/>
              <w:szCs w:val="24"/>
            </w:rPr>
            <mc:AlternateContent>
              <mc:Choice Requires="wpg">
                <w:drawing>
                  <wp:anchor distT="0" distB="0" distL="114300" distR="114300" simplePos="0" relativeHeight="251673600" behindDoc="0" locked="0" layoutInCell="1" allowOverlap="1" wp14:anchorId="20F4B321" wp14:editId="3C2DA8C1">
                    <wp:simplePos x="0" y="0"/>
                    <mc:AlternateContent>
                      <mc:Choice Requires="wp14">
                        <wp:positionH relativeFrom="page">
                          <wp14:pctPosHOffset>75000</wp14:pctPosHOffset>
                        </wp:positionH>
                      </mc:Choice>
                      <mc:Fallback>
                        <wp:positionH relativeFrom="page">
                          <wp:posOffset>5670550</wp:posOffset>
                        </wp:positionH>
                      </mc:Fallback>
                    </mc:AlternateContent>
                    <wp:positionV relativeFrom="page">
                      <wp:align>center</wp:align>
                    </wp:positionV>
                    <wp:extent cx="1774190" cy="10698480"/>
                    <wp:effectExtent l="19050" t="0" r="0" b="26670"/>
                    <wp:wrapNone/>
                    <wp:docPr id="3"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190" cy="10698480"/>
                              <a:chOff x="0" y="0"/>
                              <a:chExt cx="1774293" cy="10698480"/>
                            </a:xfrm>
                          </wpg:grpSpPr>
                          <wpg:grpSp>
                            <wpg:cNvPr id="2" name="Grouper 1"/>
                            <wpg:cNvGrpSpPr/>
                            <wpg:grpSpPr bwMode="auto">
                              <a:xfrm>
                                <a:off x="308919" y="0"/>
                                <a:ext cx="1465374" cy="10698480"/>
                                <a:chOff x="6022" y="8835"/>
                                <a:chExt cx="2310" cy="16114"/>
                              </a:xfrm>
                            </wpg:grpSpPr>
                            <wps:wsp>
                              <wps:cNvPr id="4" name="Rectangle 2"/>
                              <wps:cNvSpPr>
                                <a:spLocks noChangeArrowheads="1"/>
                              </wps:cNvSpPr>
                              <wps:spPr bwMode="auto">
                                <a:xfrm>
                                  <a:off x="6676" y="8835"/>
                                  <a:ext cx="1512" cy="16114"/>
                                </a:xfrm>
                                <a:prstGeom prst="rect">
                                  <a:avLst/>
                                </a:prstGeom>
                                <a:gradFill>
                                  <a:gsLst>
                                    <a:gs pos="0">
                                      <a:srgbClr val="FEB686"/>
                                    </a:gs>
                                    <a:gs pos="100000">
                                      <a:schemeClr val="accent1">
                                        <a:lumMod val="100000"/>
                                        <a:lumOff val="0"/>
                                      </a:schemeClr>
                                    </a:gs>
                                  </a:gsLst>
                                  <a:lin ang="0" scaled="1"/>
                                </a:gradFill>
                                <a:ln>
                                  <a:noFill/>
                                </a:ln>
                              </wps:spPr>
                              <wps:bodyPr rot="0">
                                <a:prstTxWarp prst="textNoShape">
                                  <a:avLst/>
                                </a:prstTxWarp>
                                <a:noAutofit/>
                              </wps:bodyPr>
                            </wps:wsp>
                            <wps:wsp>
                              <wps:cNvPr id="5" name="Connecteur droit avec flèche 4"/>
                              <wps:cNvCnPr/>
                              <wps:spPr bwMode="auto">
                                <a:xfrm>
                                  <a:off x="6359" y="8835"/>
                                  <a:ext cx="0" cy="16114"/>
                                </a:xfrm>
                                <a:prstGeom prst="straightConnector1">
                                  <a:avLst/>
                                </a:prstGeom>
                                <a:noFill/>
                                <a:ln w="12700">
                                  <a:solidFill>
                                    <a:srgbClr val="FECEAE"/>
                                  </a:solidFill>
                                  <a:round/>
                                  <a:headEnd/>
                                  <a:tailEnd/>
                                </a:ln>
                              </wps:spPr>
                              <wps:bodyPr/>
                            </wps:wsp>
                            <wps:wsp>
                              <wps:cNvPr id="6" name="Connecteur droit avec flèche 5"/>
                              <wps:cNvCnPr/>
                              <wps:spPr bwMode="auto">
                                <a:xfrm>
                                  <a:off x="8332" y="8835"/>
                                  <a:ext cx="0" cy="16111"/>
                                </a:xfrm>
                                <a:prstGeom prst="straightConnector1">
                                  <a:avLst/>
                                </a:prstGeom>
                                <a:noFill/>
                                <a:ln w="28575">
                                  <a:solidFill>
                                    <a:schemeClr val="accent1">
                                      <a:lumMod val="100000"/>
                                      <a:lumOff val="0"/>
                                    </a:schemeClr>
                                  </a:solidFill>
                                  <a:round/>
                                  <a:headEnd/>
                                  <a:tailEnd/>
                                </a:ln>
                              </wps:spPr>
                              <wps:bodyPr/>
                            </wps:wsp>
                            <wps:wsp>
                              <wps:cNvPr id="7" name="Connecteur droit avec flèche 6"/>
                              <wps:cNvCnPr/>
                              <wps:spPr bwMode="auto">
                                <a:xfrm>
                                  <a:off x="6587" y="8835"/>
                                  <a:ext cx="0" cy="16114"/>
                                </a:xfrm>
                                <a:prstGeom prst="straightConnector1">
                                  <a:avLst/>
                                </a:prstGeom>
                                <a:noFill/>
                                <a:ln w="57150">
                                  <a:solidFill>
                                    <a:srgbClr val="FECEAE"/>
                                  </a:solidFill>
                                  <a:round/>
                                  <a:headEnd/>
                                  <a:tailEnd/>
                                </a:ln>
                              </wps:spPr>
                              <wps:bodyPr/>
                            </wps:wsp>
                            <wps:wsp>
                              <wps:cNvPr id="8" name="Connecteur droit avec flèche 7"/>
                              <wps:cNvCnPr/>
                              <wps:spPr bwMode="auto">
                                <a:xfrm>
                                  <a:off x="6022" y="8835"/>
                                  <a:ext cx="0" cy="16109"/>
                                </a:xfrm>
                                <a:prstGeom prst="straightConnector1">
                                  <a:avLst/>
                                </a:prstGeom>
                                <a:noFill/>
                                <a:ln w="28575">
                                  <a:solidFill>
                                    <a:srgbClr val="FEE6D6"/>
                                  </a:solidFill>
                                  <a:round/>
                                  <a:headEnd/>
                                  <a:tailEnd/>
                                </a:ln>
                              </wps:spPr>
                              <wps:bodyPr/>
                            </wps:wsp>
                          </wpg:grpSp>
                          <wps:wsp>
                            <wps:cNvPr id="9" name="Ellipse 8"/>
                            <wps:cNvSpPr>
                              <a:spLocks noChangeArrowheads="1"/>
                            </wps:cNvSpPr>
                            <wps:spPr bwMode="auto">
                              <a:xfrm>
                                <a:off x="0" y="7945394"/>
                                <a:ext cx="1101885" cy="1071218"/>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a:prstTxWarp prst="textNoShape">
                                <a:avLst/>
                              </a:prstTxWarp>
                              <a:noAutofit/>
                            </wps:bodyPr>
                          </wps:wsp>
                          <wps:wsp>
                            <wps:cNvPr id="10" name="Ellipse 9"/>
                            <wps:cNvSpPr>
                              <a:spLocks noChangeArrowheads="1"/>
                            </wps:cNvSpPr>
                            <wps:spPr bwMode="auto">
                              <a:xfrm flipH="1">
                                <a:off x="259492" y="9378778"/>
                                <a:ext cx="188405" cy="192400"/>
                              </a:xfrm>
                              <a:prstGeom prst="ellipse">
                                <a:avLst/>
                              </a:prstGeom>
                              <a:solidFill>
                                <a:schemeClr val="accent1">
                                  <a:lumMod val="100000"/>
                                  <a:lumOff val="0"/>
                                </a:schemeClr>
                              </a:solidFill>
                              <a:ln w="38100" cmpd="dbl">
                                <a:solidFill>
                                  <a:schemeClr val="accent1">
                                    <a:lumMod val="100000"/>
                                    <a:lumOff val="0"/>
                                  </a:schemeClr>
                                </a:solidFill>
                                <a:round/>
                                <a:headEnd/>
                                <a:tailEnd/>
                              </a:ln>
                            </wps:spPr>
                            <wps:bodyPr rot="0">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49BDAF04" id="Groupe 1" o:spid="_x0000_s1026" style="position:absolute;margin-left:0;margin-top:0;width:139.7pt;height:842.4pt;z-index:251673600;mso-left-percent:750;mso-position-horizontal-relative:page;mso-position-vertical:center;mso-position-vertical-relative:page;mso-left-percent:750;mso-width-relative:margin" coordsize="17742,106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85eAQAACUUAAAOAAAAZHJzL2Uyb0RvYy54bWzsWNtu4zYQfS/QfyD03lgX64o4i9Rx0oft&#10;Nujuos+0RMlCJVEgZTv5o/5Hf6zDISVbdrxNk3WAXdQPBiXeZs45Mxzq8t1DXZENE7LkzcxyLmyL&#10;sCblWdkUM+vzp9ufIovIjjYZrXjDZtYjk9a7qx9/uNy2CXP5ilcZEwQWaWSybWfWquvaZDKR6YrV&#10;VF7wljXQmXNR0w4eRTHJBN3C6nU1cW07mGy5yFrBUyYlvL3RndYVrp/nLO1+y3PJOlLNLLCtw3+B&#10;/0v1P7m6pEkhaLsqU2MGfYEVNS0b2HRY6oZ2lKxFebRUXaaCS553FymvJzzPy5ShD+CNYx94cyf4&#10;ukVfimRbtANMAO0BTi9eNv2wuRekzGaWZ5GG1kAR7sqIo7DZtkUCQ+5E+7G9F9pBaL7n6Z8SuieH&#10;/eq50IPJcvsrz2A9uu44YvOQi1otAV6TB6TgcaCAPXQkhZdOGE6dGJhKoc+xgziaRoaldAVUHk1M&#10;V4u9qW4MbhxOndBEb43mGvO0b/gwuGmQcMdIiKegMNg811fPjmIntsgTDk8D3wunx1bTZHA4sF2w&#10;CeZGkedrye7cdj2nhytwnKnqPukwxJjcyUi+TkYfV7RlqE6pNGLAA0+0jH6H2KNNUTHiaiXhqF5G&#10;UmuINHy+glHsWgi+XTGagVGoPOBqb4J6kKDAfxVVEITBAVSDtHwHUERxHAFFk1bI7o7xmqjGzBJg&#10;PYqWbt7LTmPaDzFxnt2WVYVtCUN0g7QcHLBxphTFcl4JsqGQe24XPwdRYMgp5P5ox1Y/PUWlPTZM&#10;omnKms7BrmpdQzjpxcwMsIom8F6FBW6CgQLkY/ZUy6AU1G7wsuitrMqGAOQYgDKlFYPg15Bj+hrc&#10;qhq1fsOVmxoA9QZ5UVSoqJHJkmePQIvgmFnVBIXSp4c/qGgNlB0Q8IH3aqHJAaJ6rN7qGlJFXiLc&#10;u8XNnqBcveXZJez3Ep7zpgEdsLUgmeBlR+iGpSSv/v4LeCIYakal8+ZeAEbPl6nn62ywi+hepieD&#10;+UijshO0LFadMZMLrZQDfJWoR0SCZhqyBc7dsJcdr8qB9gPZzhfXCyNbuT8MjqYmQwWqqF2YdkfL&#10;SrdBcSflotSkoHo7SiEn6Kz0ZUoxub6Q0sjzDpP0E5T2gdafhX1OMbHySkrdyA99nUn2uRrygU4T&#10;XyetfMNqCJ+nBkzXL1RD4Eewy+jIfkIN49P6awe4Hzq+OVdGahifS99HgMM14zkBHu6VIv85Zx9X&#10;YceU2rFJlm8b4GNKF8FNX2qcJ0p3hfQbHclwWGp6F1VVtpKRaI/Ic9eUcCJDIIfx1PdijFia9MQ7&#10;ju1EERQM+s4ROq6Dlg0V+FFMM+0AJukTJ/WIs/Pnbl0NeBFUleBH3UI5mC2rb+0U+b5KUHWlGwse&#10;84o5jM4ieKhry/YXdRVQ1aK5o7t+PI11WRN7YRSGqO49/UfR1O7lH7tTkJC+KpxIf/+rv7/h4Z1s&#10;FOmvqajfTP2Y+eFbFJpvvpupj137z1jd777uXf0DAAD//wMAUEsDBBQABgAIAAAAIQCmLq1X3AAA&#10;AAYBAAAPAAAAZHJzL2Rvd25yZXYueG1sTI9BS8NAEIXvgv9hGcGLtBtDqTFmU6QQPadKpbdtdkyC&#10;2dm4u23iv3f0opcHw3u8902xme0gzuhD70jB7TIBgdQ401Or4PWlWmQgQtRk9OAIFXxhgE15eVHo&#10;3LiJajzvYiu4hEKuFXQxjrmUoenQ6rB0IxJ7785bHfn0rTReT1xuB5kmyVpa3RMvdHrEbYfNx+5k&#10;FeyrfT19HtLn+q2tbp4a32O0W6Wur+bHBxAR5/gXhh98RoeSmY7uRCaIQQE/En+VvfTufgXiyKF1&#10;tspAloX8j19+AwAA//8DAFBLAQItABQABgAIAAAAIQC2gziS/gAAAOEBAAATAAAAAAAAAAAAAAAA&#10;AAAAAABbQ29udGVudF9UeXBlc10ueG1sUEsBAi0AFAAGAAgAAAAhADj9If/WAAAAlAEAAAsAAAAA&#10;AAAAAAAAAAAALwEAAF9yZWxzLy5yZWxzUEsBAi0AFAAGAAgAAAAhAHF6nzl4BAAAJRQAAA4AAAAA&#10;AAAAAAAAAAAALgIAAGRycy9lMm9Eb2MueG1sUEsBAi0AFAAGAAgAAAAhAKYurVfcAAAABgEAAA8A&#10;AAAAAAAAAAAAAAAA0gYAAGRycy9kb3ducmV2LnhtbFBLBQYAAAAABAAEAPMAAADbBwAAAAA=&#10;">
                    <v:group id="Grouper 1" o:spid="_x0000_s1027" style="position:absolute;left:3089;width:14653;height:106984" coordorigin="6022,8835" coordsize="2310,1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 o:spid="_x0000_s1028" style="position:absolute;left:6676;top:8835;width:1512;height:16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JPQxAAAANoAAAAPAAAAZHJzL2Rvd25yZXYueG1sRI9Pa8JA&#10;FMTvBb/D8gq96aZVRFLXUEwtpQfBPwjeHtlnNiT7NmRXk377riD0OMzMb5hlNthG3KjzlWMFr5ME&#10;BHHhdMWlguNhM16A8AFZY+OYFPySh2w1elpiql3PO7rtQykihH2KCkwIbSqlLwxZ9BPXEkfv4jqL&#10;IcqulLrDPsJtI9+SZC4tVhwXDLa0NlTU+6tVcP2azvK6/Ulcn386zk/bizlvlXp5Hj7eQQQawn/4&#10;0f7WCmZwvxJvgFz9AQAA//8DAFBLAQItABQABgAIAAAAIQDb4fbL7gAAAIUBAAATAAAAAAAAAAAA&#10;AAAAAAAAAABbQ29udGVudF9UeXBlc10ueG1sUEsBAi0AFAAGAAgAAAAhAFr0LFu/AAAAFQEAAAsA&#10;AAAAAAAAAAAAAAAAHwEAAF9yZWxzLy5yZWxzUEsBAi0AFAAGAAgAAAAhALM8k9DEAAAA2gAAAA8A&#10;AAAAAAAAAAAAAAAABwIAAGRycy9kb3ducmV2LnhtbFBLBQYAAAAAAwADALcAAAD4AgAAAAA=&#10;" fillcolor="#feb686" stroked="f">
                        <v:fill color2="#0f6fc6 [3204]" angle="90" focus="100%" type="gradient"/>
                      </v:rect>
                      <v:shapetype id="_x0000_t32" coordsize="21600,21600" o:spt="32" o:oned="t" path="m,l21600,21600e" filled="f">
                        <v:path arrowok="t" fillok="f" o:connecttype="none"/>
                        <o:lock v:ext="edit" shapetype="t"/>
                      </v:shapetype>
                      <v:shape id="Connecteur droit avec flèche 4" o:spid="_x0000_s1029" type="#_x0000_t32" style="position:absolute;left:6359;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H0xAAAANoAAAAPAAAAZHJzL2Rvd25yZXYueG1sRI9Pa8JA&#10;FMTvBb/D8oTe6kb7R0ldxQYKKT1pPXh8ZF+zwezbkF2TNJ++Kwgeh5n5DbPeDrYWHbW+cqxgPktA&#10;EBdOV1wqOP58Pq1A+ICssXZMCv7Iw3YzeVhjql3Pe+oOoRQRwj5FBSaEJpXSF4Ys+plriKP361qL&#10;Icq2lLrFPsJtLRdJ8iYtVhwXDDaUGSrOh4tVsHy+nHcvTf01Jt+56Ufe4yn7UOpxOuzeQQQawj18&#10;a+dawStcr8QbIDf/AAAA//8DAFBLAQItABQABgAIAAAAIQDb4fbL7gAAAIUBAAATAAAAAAAAAAAA&#10;AAAAAAAAAABbQ29udGVudF9UeXBlc10ueG1sUEsBAi0AFAAGAAgAAAAhAFr0LFu/AAAAFQEAAAsA&#10;AAAAAAAAAAAAAAAAHwEAAF9yZWxzLy5yZWxzUEsBAi0AFAAGAAgAAAAhAJXOsfTEAAAA2gAAAA8A&#10;AAAAAAAAAAAAAAAABwIAAGRycy9kb3ducmV2LnhtbFBLBQYAAAAAAwADALcAAAD4AgAAAAA=&#10;" strokecolor="#feceae" strokeweight="1pt"/>
                      <v:shape id="Connecteur droit avec flèche 5" o:spid="_x0000_s1030" type="#_x0000_t32" style="position:absolute;left:8332;top:8835;width:0;height:161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ZtwgAAANoAAAAPAAAAZHJzL2Rvd25yZXYueG1sRI9BawIx&#10;FITvBf9DeIXearYWpKxGKYVSD0VwK4K3x+a5Wdy8xCSu239vBMHjMDPfMPPlYDvRU4itYwVv4wIE&#10;ce10y42C7d/36weImJA1do5JwT9FWC5GT3MstbvwhvoqNSJDOJaowKTkSyljbchiHDtPnL2DCxZT&#10;lqGROuAlw20nJ0UxlRZbzgsGPX0Zqo/V2Sr4DTaan4rfzzvfr0+F31eH3V6pl+fhcwYi0ZAe4Xt7&#10;pRVM4XYl3wC5uAIAAP//AwBQSwECLQAUAAYACAAAACEA2+H2y+4AAACFAQAAEwAAAAAAAAAAAAAA&#10;AAAAAAAAW0NvbnRlbnRfVHlwZXNdLnhtbFBLAQItABQABgAIAAAAIQBa9CxbvwAAABUBAAALAAAA&#10;AAAAAAAAAAAAAB8BAABfcmVscy8ucmVsc1BLAQItABQABgAIAAAAIQDEf0ZtwgAAANoAAAAPAAAA&#10;AAAAAAAAAAAAAAcCAABkcnMvZG93bnJldi54bWxQSwUGAAAAAAMAAwC3AAAA9gIAAAAA&#10;" strokecolor="#0f6fc6 [3204]" strokeweight="2.25pt"/>
                      <v:shape id="Connecteur droit avec flèche 6" o:spid="_x0000_s1031" type="#_x0000_t32" style="position:absolute;left:6587;top:8835;width:0;height:161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VywwAAANoAAAAPAAAAZHJzL2Rvd25yZXYueG1sRI9bawIx&#10;FITfC/6HcATfalYLraxG8VJBWnzw8gMOydkLbk7WJOr675tCoY/DzHzDzBadbcSdfKgdKxgNMxDE&#10;2pmaSwXn0/Z1AiJEZIONY1LwpACLee9lhrlxDz7Q/RhLkSAcclRQxdjmUgZdkcUwdC1x8grnLcYk&#10;fSmNx0eC20aOs+xdWqw5LVTY0roifTnerIK3p79qvbl+bcb773ZbrIpPf5FKDfrdcgoiUhf/w3/t&#10;nVHwAb9X0g2Q8x8AAAD//wMAUEsBAi0AFAAGAAgAAAAhANvh9svuAAAAhQEAABMAAAAAAAAAAAAA&#10;AAAAAAAAAFtDb250ZW50X1R5cGVzXS54bWxQSwECLQAUAAYACAAAACEAWvQsW78AAAAVAQAACwAA&#10;AAAAAAAAAAAAAAAfAQAAX3JlbHMvLnJlbHNQSwECLQAUAAYACAAAACEAJB7FcsMAAADaAAAADwAA&#10;AAAAAAAAAAAAAAAHAgAAZHJzL2Rvd25yZXYueG1sUEsFBgAAAAADAAMAtwAAAPcCAAAAAA==&#10;" strokecolor="#feceae" strokeweight="4.5pt"/>
                      <v:shape id="Connecteur droit avec flèche 7" o:spid="_x0000_s1032" type="#_x0000_t32" style="position:absolute;left:6022;top:8835;width:0;height:161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UyuwAAANoAAAAPAAAAZHJzL2Rvd25yZXYueG1sRE+9CsIw&#10;EN4F3yGc4KapCirVKCoIgotaQcejOdticylNtPXtzSA4fnz/y3VrSvGm2hWWFYyGEQji1OqCMwXX&#10;ZD+Yg3AeWWNpmRR8yMF61e0sMda24TO9Lz4TIYRdjApy76tYSpfmZNANbUUcuIetDfoA60zqGpsQ&#10;bko5jqKpNFhwaMixol1O6fPyMgq2s9NR35PjYXIbNZpKbiqrT0r1e+1mAcJT6//in/ugFYSt4Uq4&#10;AXL1BQAA//8DAFBLAQItABQABgAIAAAAIQDb4fbL7gAAAIUBAAATAAAAAAAAAAAAAAAAAAAAAABb&#10;Q29udGVudF9UeXBlc10ueG1sUEsBAi0AFAAGAAgAAAAhAFr0LFu/AAAAFQEAAAsAAAAAAAAAAAAA&#10;AAAAHwEAAF9yZWxzLy5yZWxzUEsBAi0AFAAGAAgAAAAhAKe09TK7AAAA2gAAAA8AAAAAAAAAAAAA&#10;AAAABwIAAGRycy9kb3ducmV2LnhtbFBLBQYAAAAAAwADALcAAADvAgAAAAA=&#10;" strokecolor="#fee6d6" strokeweight="2.25pt"/>
                    </v:group>
                    <v:oval id="Ellipse 8" o:spid="_x0000_s1033" style="position:absolute;top:79453;width:11018;height:10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x1bxAAAANoAAAAPAAAAZHJzL2Rvd25yZXYueG1sRI9Ba8JA&#10;FITvQv/D8gre6qaWiomuIlK1uWks1eMj+5qkzb4N2dWk/74rFDwOM/MNM1/2phZXal1lWcHzKAJB&#10;nFtdcaHg47h5moJwHlljbZkU/JKD5eJhMMdE244PdM18IQKEXYIKSu+bREqXl2TQjWxDHLwv2xr0&#10;QbaF1C12AW5qOY6iiTRYcVgosaF1SflPdjEKTi8pr7enTR/vd5/fb9vLa30uUqWGj/1qBsJT7+/h&#10;//a7VhDD7Uq4AXLxBwAA//8DAFBLAQItABQABgAIAAAAIQDb4fbL7gAAAIUBAAATAAAAAAAAAAAA&#10;AAAAAAAAAABbQ29udGVudF9UeXBlc10ueG1sUEsBAi0AFAAGAAgAAAAhAFr0LFu/AAAAFQEAAAsA&#10;AAAAAAAAAAAAAAAAHwEAAF9yZWxzLy5yZWxzUEsBAi0AFAAGAAgAAAAhALK7HVvEAAAA2gAAAA8A&#10;AAAAAAAAAAAAAAAABwIAAGRycy9kb3ducmV2LnhtbFBLBQYAAAAAAwADALcAAAD4AgAAAAA=&#10;" fillcolor="#0f6fc6 [3204]" strokecolor="#0f6fc6 [3204]" strokeweight="3pt">
                      <v:stroke linestyle="thinThin"/>
                    </v:oval>
                    <v:oval id="Ellipse 9" o:spid="_x0000_s1034" style="position:absolute;left:2594;top:93787;width:1884;height:19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2LwAAAANsAAAAPAAAAZHJzL2Rvd25yZXYueG1sRI/NqsJA&#10;DIX3F3yHIYK761QFleooIoou/d2HTmyLnUzpjLW+vVlcuLuEc3LOl+W6c5VqqQmlZwOjYQKKOPO2&#10;5NzA7br/nYMKEdli5ZkMfCjAetX7WWJq/ZvP1F5iriSEQ4oGihjrVOuQFeQwDH1NLNrDNw6jrE2u&#10;bYNvCXeVHifJVDssWRoKrGlbUPa8vJyBceemp9Nk/4qb9v64z2iy3T0Pxgz63WYBKlIX/81/10cr&#10;+EIvv8gAevUFAAD//wMAUEsBAi0AFAAGAAgAAAAhANvh9svuAAAAhQEAABMAAAAAAAAAAAAAAAAA&#10;AAAAAFtDb250ZW50X1R5cGVzXS54bWxQSwECLQAUAAYACAAAACEAWvQsW78AAAAVAQAACwAAAAAA&#10;AAAAAAAAAAAfAQAAX3JlbHMvLnJlbHNQSwECLQAUAAYACAAAACEANUzNi8AAAADbAAAADwAAAAAA&#10;AAAAAAAAAAAHAgAAZHJzL2Rvd25yZXYueG1sUEsFBgAAAAADAAMAtwAAAPQCAAAAAA==&#10;" fillcolor="#0f6fc6 [3204]" strokecolor="#0f6fc6 [3204]" strokeweight="3pt">
                      <v:stroke linestyle="thinThin"/>
                    </v:oval>
                    <w10:wrap anchorx="page" anchory="page"/>
                  </v:group>
                </w:pict>
              </mc:Fallback>
            </mc:AlternateContent>
          </w:r>
          <w:r w:rsidRPr="00A8388A">
            <w:rPr>
              <w:i/>
              <w:iCs/>
              <w:smallCaps/>
              <w:noProof/>
              <w:color w:val="auto"/>
              <w:spacing w:val="5"/>
              <w:sz w:val="32"/>
              <w:szCs w:val="32"/>
            </w:rPr>
            <mc:AlternateContent>
              <mc:Choice Requires="wps">
                <w:drawing>
                  <wp:anchor distT="0" distB="0" distL="114300" distR="114300" simplePos="0" relativeHeight="251671552" behindDoc="0" locked="0" layoutInCell="0" allowOverlap="1" wp14:anchorId="6688C231" wp14:editId="188BDF94">
                    <wp:simplePos x="0" y="0"/>
                    <wp:positionH relativeFrom="margin">
                      <wp:align>left</wp:align>
                    </wp:positionH>
                    <wp:positionV relativeFrom="margin">
                      <wp:align>bottom</wp:align>
                    </wp:positionV>
                    <wp:extent cx="4536440" cy="815975"/>
                    <wp:effectExtent l="0" t="0" r="0" b="0"/>
                    <wp:wrapNone/>
                    <wp:docPr id="1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6440" cy="815975"/>
                            </a:xfrm>
                            <a:prstGeom prst="rect">
                              <a:avLst/>
                            </a:prstGeom>
                            <a:solidFill>
                              <a:srgbClr val="FFFFFF"/>
                            </a:solidFill>
                            <a:ln>
                              <a:noFill/>
                            </a:ln>
                          </wps:spPr>
                          <wps:txbx>
                            <w:txbxContent>
                              <w:p w14:paraId="06B296BB" w14:textId="77777777" w:rsidR="008C2ED9" w:rsidRDefault="00CD5734">
                                <w:pPr>
                                  <w:spacing w:after="100"/>
                                  <w:rPr>
                                    <w:color w:val="0B5294"/>
                                    <w:sz w:val="24"/>
                                    <w:szCs w:val="24"/>
                                  </w:rPr>
                                </w:pPr>
                                <w:sdt>
                                  <w:sdtPr>
                                    <w:alias w:val="Auteur"/>
                                    <w:id w:val="280430085"/>
                                  </w:sdtPr>
                                  <w:sdtEndPr/>
                                  <w:sdtContent>
                                    <w:r w:rsidR="008C2ED9">
                                      <w:rPr>
                                        <w:color w:val="0B5294" w:themeColor="accent1" w:themeShade="BF"/>
                                        <w:sz w:val="24"/>
                                        <w:szCs w:val="24"/>
                                      </w:rPr>
                                      <w:t>Céline BUTSTRAEN et Florence THOMAS</w:t>
                                    </w:r>
                                  </w:sdtContent>
                                </w:sdt>
                              </w:p>
                              <w:p w14:paraId="0C4D26A1" w14:textId="77777777" w:rsidR="008C2ED9" w:rsidRDefault="00CD5734">
                                <w:pPr>
                                  <w:spacing w:after="100"/>
                                  <w:rPr>
                                    <w:color w:val="0B5294"/>
                                  </w:rPr>
                                </w:pPr>
                                <w:sdt>
                                  <w:sdtPr>
                                    <w:alias w:val="Date"/>
                                    <w:id w:val="280430091"/>
                                  </w:sdtPr>
                                  <w:sdtEndPr/>
                                  <w:sdtContent>
                                    <w:r w:rsidR="008C2ED9">
                                      <w:rPr>
                                        <w:color w:val="0B5294" w:themeColor="accent1" w:themeShade="BF"/>
                                        <w:sz w:val="24"/>
                                        <w:szCs w:val="24"/>
                                      </w:rPr>
                                      <w:t>05/02/2020</w:t>
                                    </w:r>
                                  </w:sdtContent>
                                </w:sdt>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rect w14:anchorId="6688C231" id="Rectangle 54" o:spid="_x0000_s1027" style="position:absolute;margin-left:0;margin-top:0;width:357.2pt;height:64.25pt;z-index:251671552;visibility:visible;mso-wrap-style:square;mso-width-percent:600;mso-height-percent:0;mso-wrap-distance-left:9pt;mso-wrap-distance-top:0;mso-wrap-distance-right:9pt;mso-wrap-distance-bottom:0;mso-position-horizontal:left;mso-position-horizontal-relative:margin;mso-position-vertical:bottom;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eEBAIAAO8DAAAOAAAAZHJzL2Uyb0RvYy54bWysU9uO0zAQfUfiHyy/0zSl3UvUdLXqqghp&#10;gRULH+A4TmLheMzYbbJ8PWOnLQXeEHmwMp7x8Tlnxuu7sTfsoNBrsCXPZ3POlJVQa9uW/OuX3Zsb&#10;znwQthYGrCr5i/L8bvP61XpwhVpAB6ZWyAjE+mJwJe9CcEWWedmpXvgZOGUp2QD2IlCIbVajGAi9&#10;N9liPr/KBsDaIUjlPe0+TEm+SfhNo2T41DReBWZKTtxCWjGtVVyzzVoULQrXaXmkIf6BRS+0pUvP&#10;UA8iCLZH/RdUryWChybMJPQZNI2WKmkgNfn8DzXPnXAqaSFzvDvb5P8frPx4eEKma+pdzpkVPfXo&#10;M7kmbGsUWy2jQYPzBdU9uyeMEr17BPnNMwvbjsrUPSIMnRI10cpjffbbgRh4Osqq4QPUBC/2AZJX&#10;Y4N9BCQX2Jha8nJuiRoDk7S5XL29Wi6pc5JyN/nq9nqVrhDF6bRDH94p6Fn8KTkS+YQuDo8+RDai&#10;OJUk9mB0vdPGpADbamuQHQSNxy59R3R/WWZsLLYQj02IcSfJjMomh8JYjZORJ88qqF9IN8I0dfRK&#10;6KcD/MHZQBNXcv99L1BxZt5b8u42T0JDCpar6wWpxstMdZkRVhJUyQNn0+82TGO9d6jbjm7Kkw0W&#10;7snvRicrYi8mVkf6NFXJoeMLiGN7GaeqX+908xMAAP//AwBQSwMEFAAGAAgAAAAhAKTNlHLZAAAA&#10;BQEAAA8AAABkcnMvZG93bnJldi54bWxMj8FOwzAQRO9I/IO1SNyo0ypACXEqQIIroskHOPGSRNjr&#10;yHbbNF/PwgUuI61mNPO23M3OiiOGOHpSsF5lIJA6b0bqFTT1680WREyajLaeUMEZI+yqy4tSF8af&#10;6AOP+9QLLqFYaAVDSlMhZewGdDqu/ITE3qcPTic+Qy9N0Ccud1ZusuxOOj0SLwx6wpcBu6/9wSl4&#10;f87qUJ+XhzZEsjFvltC8LUpdX81PjyASzukvDD/4jA4VM7X+QCYKq4AfSb/K3v06z0G0HNpsb0FW&#10;pfxPX30DAAD//wMAUEsBAi0AFAAGAAgAAAAhALaDOJL+AAAA4QEAABMAAAAAAAAAAAAAAAAAAAAA&#10;AFtDb250ZW50X1R5cGVzXS54bWxQSwECLQAUAAYACAAAACEAOP0h/9YAAACUAQAACwAAAAAAAAAA&#10;AAAAAAAvAQAAX3JlbHMvLnJlbHNQSwECLQAUAAYACAAAACEA8ntnhAQCAADvAwAADgAAAAAAAAAA&#10;AAAAAAAuAgAAZHJzL2Uyb0RvYy54bWxQSwECLQAUAAYACAAAACEApM2UctkAAAAFAQAADwAAAAAA&#10;AAAAAAAAAABeBAAAZHJzL2Rvd25yZXYueG1sUEsFBgAAAAAEAAQA8wAAAGQFAAAAAA==&#10;" o:allowincell="f" stroked="f">
                    <v:textbox>
                      <w:txbxContent>
                        <w:p w14:paraId="06B296BB" w14:textId="77777777" w:rsidR="008C2ED9" w:rsidRDefault="00CD5734">
                          <w:pPr>
                            <w:spacing w:after="100"/>
                            <w:rPr>
                              <w:color w:val="0B5294"/>
                              <w:sz w:val="24"/>
                              <w:szCs w:val="24"/>
                            </w:rPr>
                          </w:pPr>
                          <w:sdt>
                            <w:sdtPr>
                              <w:alias w:val="Auteur"/>
                              <w:id w:val="280430085"/>
                            </w:sdtPr>
                            <w:sdtEndPr/>
                            <w:sdtContent>
                              <w:r w:rsidR="008C2ED9">
                                <w:rPr>
                                  <w:color w:val="0B5294" w:themeColor="accent1" w:themeShade="BF"/>
                                  <w:sz w:val="24"/>
                                  <w:szCs w:val="24"/>
                                </w:rPr>
                                <w:t>Céline BUTSTRAEN et Florence THOMAS</w:t>
                              </w:r>
                            </w:sdtContent>
                          </w:sdt>
                        </w:p>
                        <w:p w14:paraId="0C4D26A1" w14:textId="77777777" w:rsidR="008C2ED9" w:rsidRDefault="00CD5734">
                          <w:pPr>
                            <w:spacing w:after="100"/>
                            <w:rPr>
                              <w:color w:val="0B5294"/>
                            </w:rPr>
                          </w:pPr>
                          <w:sdt>
                            <w:sdtPr>
                              <w:alias w:val="Date"/>
                              <w:id w:val="280430091"/>
                            </w:sdtPr>
                            <w:sdtEndPr/>
                            <w:sdtContent>
                              <w:r w:rsidR="008C2ED9">
                                <w:rPr>
                                  <w:color w:val="0B5294" w:themeColor="accent1" w:themeShade="BF"/>
                                  <w:sz w:val="24"/>
                                  <w:szCs w:val="24"/>
                                </w:rPr>
                                <w:t>05/02/2020</w:t>
                              </w:r>
                            </w:sdtContent>
                          </w:sdt>
                        </w:p>
                      </w:txbxContent>
                    </v:textbox>
                    <w10:wrap anchorx="margin" anchory="margin"/>
                  </v:rect>
                </w:pict>
              </mc:Fallback>
            </mc:AlternateContent>
          </w:r>
          <w:r w:rsidR="00E2653A" w:rsidRPr="00A8388A">
            <w:rPr>
              <w:i/>
              <w:iCs/>
              <w:smallCaps/>
              <w:color w:val="auto"/>
              <w:spacing w:val="5"/>
              <w:sz w:val="24"/>
              <w:szCs w:val="24"/>
            </w:rPr>
            <w:br w:type="page"/>
          </w:r>
        </w:sdtContent>
      </w:sdt>
    </w:p>
    <w:p w14:paraId="1F9DA13A" w14:textId="1290429B" w:rsidR="004479A8" w:rsidRPr="00A8388A" w:rsidRDefault="00CD5734">
      <w:pPr>
        <w:pStyle w:val="Titre"/>
        <w:rPr>
          <w:color w:val="auto"/>
          <w:szCs w:val="52"/>
        </w:rPr>
      </w:pPr>
      <w:sdt>
        <w:sdtPr>
          <w:rPr>
            <w:color w:val="auto"/>
          </w:rPr>
          <w:id w:val="221498486"/>
        </w:sdtPr>
        <w:sdtEndPr/>
        <w:sdtContent>
          <w:r w:rsidR="00E2653A" w:rsidRPr="00A8388A">
            <w:rPr>
              <w:smallCaps w:val="0"/>
              <w:color w:val="auto"/>
              <w:spacing w:val="0"/>
            </w:rPr>
            <w:t>Le travail en France : éléments de comparaison internationale</w:t>
          </w:r>
        </w:sdtContent>
      </w:sdt>
      <w:r w:rsidR="00421304" w:rsidRPr="00A8388A">
        <w:rPr>
          <w:noProof/>
          <w:color w:val="auto"/>
          <w:szCs w:val="52"/>
        </w:rPr>
        <mc:AlternateContent>
          <mc:Choice Requires="wpg">
            <w:drawing>
              <wp:anchor distT="0" distB="0" distL="114300" distR="114300" simplePos="0" relativeHeight="251646976" behindDoc="0" locked="0" layoutInCell="1" allowOverlap="1" wp14:anchorId="278EBD66" wp14:editId="2C995CF7">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12" name="Groupe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3" name="Ellipse 1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14" name="Rectangle 14"/>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6A590F" id="Groupe 62" o:spid="_x0000_s1026" style="position:absolute;margin-left:0;margin-top:10in;width:43.2pt;height:43.2pt;z-index:25164697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dosuAIAAFoHAAAOAAAAZHJzL2Uyb0RvYy54bWzMlV1P2zAUhu8n7T9YuV+TtCULESlCUNgF&#10;AzSYdu06zofm2JZtmvLvd3ycFihsmtg07SZyYvt8PO9r5+h40wuy5sZ2SpZROkkiwiVTVSebMvp6&#10;d/4hj4h1VFZUKMnL6IHb6Hjx/t3RoAs+Va0SFTcEgkhbDLqMWud0EceWtbyndqI0lzBZK9NTB6+m&#10;iStDB4jei3iaJFk8KFNpoxi3Fr6ehclogfHrmjN3XdeWOyLKCGpz+DT4XPlnvDiiRWOobjs2lkHf&#10;UEVPOwlJd6HOqKPk3nQvQvUdM8qq2k2Y6mNV1x3j2AN0kyZ73VwYda+xl6YYGr3DBGj3OL05LLta&#10;3xjSVaDdNCKS9qARpuUkm3o6g24KWHRh9K2+MaFFGF4q9t3CdLw/79+bsJishs+qgoD03imks6lN&#10;70NA32SDIjzsROAbRxh8PJjn2RykYjA1jlEk1oKSfleaZAeziMB0Os8OPwYJWbsc98PusNkPfIW0&#10;CGmx1LE03xcYzj4ytX/G9LalmqNU1uPaMoU6A9OlEJ22nKSzABVXbYnagJNIddpS2fATY9TQclpB&#10;USn24KuFsGGDf7Egxut8SQ2ZPvmNT0inSZ4BU2SWH+aB2Zb4FCAi7lmC1e2I0UIb6y646okflBEP&#10;XWBkur60LvDdrvIJrRJddd4JgS+mWZ0KQ9YUjt/5Ms9mKBckeLZMSDKU0SxPE697r8GN1Upglmfr&#10;7O+Fg1MjK/SMZ7gcx452IowhvZBo3cAxmGGlqgdgahTeEb5639bd5hs1emzfAbErtZWaFnsIwlq/&#10;U6oTsHzdIR8vVwg+5gTb/Sv/wVEI/vsCNyFYS4AD8VQ8MxTI8Tcd6AmMJ/zVs7r13U9P6gvfGaj+&#10;V6aTyjsOJffKegHGD/+F1njzwAWOl9H4s/F/iKfv6I3HX+LiBwAAAP//AwBQSwMEFAAGAAgAAAAh&#10;AJD8SdLcAAAACQEAAA8AAABkcnMvZG93bnJldi54bWxMT0FOwzAQvCPxB2uRuCDqUEJUpXEqQI04&#10;EyKh3px4cSLidRS7bfg9y4neZmdGszPFbnGjOOEcBk8KHlYJCKTOm4Gsguajut+ACFGT0aMnVPCD&#10;AXbl9VWhc+PP9I6nOlrBIRRyraCPccqlDF2PToeVn5BY+/Kz05HP2Uoz6zOHu1GukySTTg/EH3o9&#10;4WuP3Xd9dApa12W1/az2eOfbF3t4bJrqba/U7c3yvAURcYn/Zvirz9Wh5E6tP5IJYlTAQyKzaZow&#10;Yn2TpSBaZp7WjGRZyMsF5S8AAAD//wMAUEsBAi0AFAAGAAgAAAAhALaDOJL+AAAA4QEAABMAAAAA&#10;AAAAAAAAAAAAAAAAAFtDb250ZW50X1R5cGVzXS54bWxQSwECLQAUAAYACAAAACEAOP0h/9YAAACU&#10;AQAACwAAAAAAAAAAAAAAAAAvAQAAX3JlbHMvLnJlbHNQSwECLQAUAAYACAAAACEAw3HaLLgCAABa&#10;BwAADgAAAAAAAAAAAAAAAAAuAgAAZHJzL2Uyb0RvYy54bWxQSwECLQAUAAYACAAAACEAkPxJ0twA&#10;AAAJAQAADwAAAAAAAAAAAAAAAAASBQAAZHJzL2Rvd25yZXYueG1sUEsFBgAAAAAEAAQA8wAAABsG&#10;AAAAAA==&#10;">
                <v:oval id="Ellipse 1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cCvwAAANsAAAAPAAAAZHJzL2Rvd25yZXYueG1sRE9Ni8Iw&#10;EL0L+x/CCN401RWRahQRFhdUUHe9D83YFJtJSaJ2//1GELzN433OfNnaWtzJh8qxguEgA0FcOF1x&#10;qeD356s/BREissbaMSn4owDLxUdnjrl2Dz7S/RRLkUI45KjAxNjkUobCkMUwcA1x4i7OW4wJ+lJq&#10;j48Ubms5yrKJtFhxajDY0NpQcT3drILDpjLluN1IvT641c7vz/utq5XqddvVDESkNr7FL/e3TvM/&#10;4flLOkAu/gEAAP//AwBQSwECLQAUAAYACAAAACEA2+H2y+4AAACFAQAAEwAAAAAAAAAAAAAAAAAA&#10;AAAAW0NvbnRlbnRfVHlwZXNdLnhtbFBLAQItABQABgAIAAAAIQBa9CxbvwAAABUBAAALAAAAAAAA&#10;AAAAAAAAAB8BAABfcmVscy8ucmVsc1BLAQItABQABgAIAAAAIQDnM/cCvwAAANsAAAAPAAAAAAAA&#10;AAAAAAAAAAcCAABkcnMvZG93bnJldi54bWxQSwUGAAAAAAMAAwC3AAAA8wIAAAAA&#10;" fillcolor="#fe8637" strokecolor="#fe8637" strokeweight="3pt">
                  <v:stroke linestyle="thinThin"/>
                </v:oval>
                <v:rect id="Rectangle 1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cwgAAANsAAAAPAAAAZHJzL2Rvd25yZXYueG1sRE9Na8JA&#10;EL0L/odlhF5ENy0i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BwN/EcwgAAANsAAAAPAAAA&#10;AAAAAAAAAAAAAAcCAABkcnMvZG93bnJldi54bWxQSwUGAAAAAAMAAwC3AAAA9g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48000" behindDoc="0" locked="0" layoutInCell="1" allowOverlap="1" wp14:anchorId="2A04C59A" wp14:editId="762174D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15" name="Groupe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6" name="Ellipse 1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17" name="Rectangle 17"/>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E2CEEC" id="Groupe 59" o:spid="_x0000_s1026" style="position:absolute;margin-left:0;margin-top:10in;width:43.2pt;height:43.2pt;z-index:25164800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y5tgIAAFoHAAAOAAAAZHJzL2Uyb0RvYy54bWzMlU1P3DAQhu+V+h+s3EsSlk1DRBYhWOiB&#10;AipUPXsd50N1bMs2m+XfdzxOgF1oVdGq6iWyY3s887yv7aPjTS/ImhvbKVlG6V4SES6ZqjrZlNHX&#10;u/MPeUSso7KiQkleRg/cRseL9++OBl3wfdUqUXFDIIi0xaDLqHVOF3FsWct7aveU5hIGa2V66qBr&#10;mrgydIDovYj3kySLB2UqbRTj1sLfszAYLTB+XXPmruvackdEGUFuDr8Gvyv/jRdHtGgM1W3HxjTo&#10;G7LoaSdh08dQZ9RRcm+6F6H6jhllVe32mOpjVdcd41gDVJMmO9VcGHWvsZamGBr9iAnQ7nB6c1h2&#10;tb4xpKtAu3lEJO1BI9yWk/mhpzPopoBJF0bf6hsTSoTmpWLfLQzHu+O+34TJZDV8VhUEpPdOIZ1N&#10;bXofAuomGxTh4VEEvnGEwc/5QZ4dgFQMhsY2isRaUNKvSpNsPosIDKcH2eHHICFrl+N6WB0W+4bP&#10;kBZhW0x1TM3XBYazT0ztnzG9banmKJX1uCam2cR0KUSnLSdpFqDirImoDTiJVKctlQ0/MUYNLacV&#10;JJViDT5bCBsW+I4FMV7nS2rY6ZNf+Ix0muQZMEVm+WEemE3E9wEi4p4lsy1itNDGuguueuIbZcRD&#10;FRiZri+tC3ynWX5Dq0RXnXdCYMc0q1NhyJrC8Ttf5tkM5QJJtqYJSYYymuVp4nXvNbixWgncZWue&#10;/b1wcGpkhZ7xDJdj29FOhDZsLyRaN3AMZlip6gGYGoV3hM/el3W3+UaNHst3QOxKTVLTYgdBmOtX&#10;SnUClq875OPlCsHHPcF2/8p/IGw401/gJgRrCXAgSrBlKJDjbzrQExhP+KtndfLdT0/qC98ZyP5X&#10;ppPKOw4l98p6AcYf/4XWePPABY6X0fjY+BfieR+98fQkLn4AAAD//wMAUEsDBBQABgAIAAAAIQCQ&#10;/EnS3AAAAAkBAAAPAAAAZHJzL2Rvd25yZXYueG1sTE9BTsMwELwj8Qdrkbgg6lBCVKVxKkCNOBMi&#10;od6ceHEi4nUUu234PcuJ3mZnRrMzxW5xozjhHAZPCh5WCQikzpuBrILmo7rfgAhRk9GjJ1TwgwF2&#10;5fVVoXPjz/SOpzpawSEUcq2gj3HKpQxdj06HlZ+QWPvys9ORz9lKM+szh7tRrpMkk04PxB96PeFr&#10;j913fXQKWtdltf2s9njn2xd7eGya6m2v1O3N8rwFEXGJ/2b4q8/VoeROrT+SCWJUwEMis2maMGJ9&#10;k6UgWmae1oxkWcjLBeUvAAAA//8DAFBLAQItABQABgAIAAAAIQC2gziS/gAAAOEBAAATAAAAAAAA&#10;AAAAAAAAAAAAAABbQ29udGVudF9UeXBlc10ueG1sUEsBAi0AFAAGAAgAAAAhADj9If/WAAAAlAEA&#10;AAsAAAAAAAAAAAAAAAAALwEAAF9yZWxzLy5yZWxzUEsBAi0AFAAGAAgAAAAhAE5IfLm2AgAAWgcA&#10;AA4AAAAAAAAAAAAAAAAALgIAAGRycy9lMm9Eb2MueG1sUEsBAi0AFAAGAAgAAAAhAJD8SdLcAAAA&#10;CQEAAA8AAAAAAAAAAAAAAAAAEAUAAGRycy9kb3ducmV2LnhtbFBLBQYAAAAABAAEAPMAAAAZBgAA&#10;AAA=&#10;">
                <v:oval id="Ellipse 1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SawAAAANsAAAAPAAAAZHJzL2Rvd25yZXYueG1sRE/fa8Iw&#10;EH4X9j+EE3zT1CFldEYRYTiYha7b3o/m1pQ1l5Jktv73Rhjs7T6+n7fdT7YXF/Khc6xgvcpAEDdO&#10;d9wq+Px4WT6BCBFZY++YFFwpwH73MNtiod3I73SpYytSCIcCFZgYh0LK0BiyGFZuIE7ct/MWY4K+&#10;ldrjmMJtLx+zLJcWO04NBgc6Gmp+6l+roDp1pt1MJ6mPlTucfflVvrleqcV8OjyDiDTFf/Gf+1Wn&#10;+Tncf0kHyN0NAAD//wMAUEsBAi0AFAAGAAgAAAAhANvh9svuAAAAhQEAABMAAAAAAAAAAAAAAAAA&#10;AAAAAFtDb250ZW50X1R5cGVzXS54bWxQSwECLQAUAAYACAAAACEAWvQsW78AAAAVAQAACwAAAAAA&#10;AAAAAAAAAAAfAQAAX3JlbHMvLnJlbHNQSwECLQAUAAYACAAAACEA90RUmsAAAADbAAAADwAAAAAA&#10;AAAAAAAAAAAHAgAAZHJzL2Rvd25yZXYueG1sUEsFBgAAAAADAAMAtwAAAPQCAAAAAA==&#10;" fillcolor="#fe8637" strokecolor="#fe8637" strokeweight="3pt">
                  <v:stroke linestyle="thinThin"/>
                </v:oval>
                <v:rect id="Rectangle 1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W9rwgAAANsAAAAPAAAAZHJzL2Rvd25yZXYueG1sRE9Na8JA&#10;EL0L/odlhF5EN+1BS8xGRJCGUhBj63nITpPQ7GzMbpP037uC0Ns83uck29E0oqfO1ZYVPC8jEMSF&#10;1TWXCj7Ph8UrCOeRNTaWScEfOdim00mCsbYDn6jPfSlCCLsYFVTet7GUrqjIoFvaljhw37Yz6APs&#10;Sqk7HEK4aeRLFK2kwZpDQ4Ut7SsqfvJfo2Aojv3l/PEmj/NLZvmaXff517tST7NxtwHhafT/4oc7&#10;02H+Gu6/hANkegMAAP//AwBQSwECLQAUAAYACAAAACEA2+H2y+4AAACFAQAAEwAAAAAAAAAAAAAA&#10;AAAAAAAAW0NvbnRlbnRfVHlwZXNdLnhtbFBLAQItABQABgAIAAAAIQBa9CxbvwAAABUBAAALAAAA&#10;AAAAAAAAAAAAAB8BAABfcmVscy8ucmVsc1BLAQItABQABgAIAAAAIQCA5W9rwgAAANsAAAAPAAAA&#10;AAAAAAAAAAAAAAcCAABkcnMvZG93bnJldi54bWxQSwUGAAAAAAMAAwC3AAAA9g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49024" behindDoc="0" locked="0" layoutInCell="1" allowOverlap="1" wp14:anchorId="141D6CBB" wp14:editId="670BF788">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18" name="Groupe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19" name="Ellipse 1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20" name="Rectangle 20"/>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C12232" id="Groupe 56" o:spid="_x0000_s1026" style="position:absolute;margin-left:0;margin-top:10in;width:43.2pt;height:43.2pt;z-index:25164902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wtwIAAFoHAAAOAAAAZHJzL2Uyb0RvYy54bWzMlU1P3DAQhu+V+h+s3EuSXUizEVmEYKGH&#10;lqJC1bPXcT5Ux7Zss1n+fcfjBNiFVhWtql4if45nnve1c3yy7QXZcGM7JcsoPUgiwiVTVSebMvp6&#10;e/Euj4h1VFZUKMnL6J7b6GT59s3xoAs+U60SFTcEgkhbDLqMWud0EceWtbyn9kBpLmGyVqanDrqm&#10;iStDB4jei3iWJFk8KFNpoxi3FkbPw2S0xPh1zZn7XNeWOyLKCHJz+DX4XftvvDymRWOobjs2pkFf&#10;kUVPOwmHPoQ6p46SO9M9C9V3zCiranfAVB+ruu4YxxqgmjTZq+bSqDuNtTTF0OgHTIB2j9Orw7Kr&#10;zbUhXQXagVKS9qARHsvJUebpDLopYNGl0Tf62oQSoflRse8WpuP9ed9vwmKyHj6pCgLSO6eQzrY2&#10;vQ8BdZMtinD/IALfOsJg8Ogwzw5BKgZTYxtFYi0o6XelSXY0jwhMp4fZ4n2QkLWrcT/sDpt9w2dI&#10;i3Aspjqm5usCw9lHpvbPmN60VHOUynpcE9PFxHQlRKctJ+kiQMVVE1EbcBKpzloqG35qjBpaTitI&#10;KsUafLYQNmzwHQtivMyX1HDSB7/xCek0yTNgiszyRR6YTcRnABFxz5P5DjFaaGPdJVc98Y0y4qEK&#10;jEw3H60LfKdV/kCrRFdddEJgxzTrM2HIhsL1u1jl2RzlAkl2lglJhjKa52nide81uLFaCzxlZ539&#10;vXBwa2SFnvEMV2Pb0U6ENhwvJFo3cAxmWKvqHpgahW+Ez96Xdbv9Ro0ey3dA7EpNUtNiD0FY63dK&#10;dQqWrzvk4+UKwcczwXb/yH8z4Bnu9Bd4CcFaghMYAzY7hgI5/qYDPYHxhr94Vyff/fSmPvOdgex/&#10;ZTqpvONQcq+sF2Ac+C+0xpcHHnB8jMafjf9DPO2jNx5/icsfAAAA//8DAFBLAwQUAAYACAAAACEA&#10;kPxJ0twAAAAJAQAADwAAAGRycy9kb3ducmV2LnhtbExPQU7DMBC8I/EHa5G4IOpQQlSlcSpAjTgT&#10;IqHenHhxIuJ1FLtt+D3Lid5mZ0azM8VucaM44RwGTwoeVgkIpM6bgayC5qO634AIUZPRoydU8IMB&#10;duX1VaFz48/0jqc6WsEhFHKtoI9xyqUMXY9Oh5WfkFj78rPTkc/ZSjPrM4e7Ua6TJJNOD8Qfej3h&#10;a4/dd310ClrXZbX9rPZ459sXe3hsmuptr9TtzfK8BRFxif9m+KvP1aHkTq0/kgliVMBDIrNpmjBi&#10;fZOlIFpmntaMZFnIywXlLwAAAP//AwBQSwECLQAUAAYACAAAACEAtoM4kv4AAADhAQAAEwAAAAAA&#10;AAAAAAAAAAAAAAAAW0NvbnRlbnRfVHlwZXNdLnhtbFBLAQItABQABgAIAAAAIQA4/SH/1gAAAJQB&#10;AAALAAAAAAAAAAAAAAAAAC8BAABfcmVscy8ucmVsc1BLAQItABQABgAIAAAAIQBcd/pwtwIAAFoH&#10;AAAOAAAAAAAAAAAAAAAAAC4CAABkcnMvZTJvRG9jLnhtbFBLAQItABQABgAIAAAAIQCQ/EnS3AAA&#10;AAkBAAAPAAAAAAAAAAAAAAAAABEFAABkcnMvZG93bnJldi54bWxQSwUGAAAAAAQABADzAAAAGgYA&#10;AAAA&#10;">
                <v:oval id="Ellipse 1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DovwAAANsAAAAPAAAAZHJzL2Rvd25yZXYueG1sRE9Ni8Iw&#10;EL0L+x/CCN40VRbRahQRFhdUUHe9D83YFJtJSaJ2//1GELzN433OfNnaWtzJh8qxguEgA0FcOF1x&#10;qeD356s/AREissbaMSn4owDLxUdnjrl2Dz7S/RRLkUI45KjAxNjkUobCkMUwcA1x4i7OW4wJ+lJq&#10;j48Ubms5yrKxtFhxajDY0NpQcT3drILDpjLlZ7uRen1wq53fn/dbVyvV67arGYhIbXyLX+5vneZP&#10;4flLOkAu/gEAAP//AwBQSwECLQAUAAYACAAAACEA2+H2y+4AAACFAQAAEwAAAAAAAAAAAAAAAAAA&#10;AAAAW0NvbnRlbnRfVHlwZXNdLnhtbFBLAQItABQABgAIAAAAIQBa9CxbvwAAABUBAAALAAAAAAAA&#10;AAAAAAAAAB8BAABfcmVscy8ucmVsc1BLAQItABQABgAIAAAAIQCG28DovwAAANsAAAAPAAAAAAAA&#10;AAAAAAAAAAcCAABkcnMvZG93bnJldi54bWxQSwUGAAAAAAMAAwC3AAAA8wIAAAAA&#10;" fillcolor="#fe8637" strokecolor="#fe8637" strokeweight="3pt">
                  <v:stroke linestyle="thinThin"/>
                </v:oval>
                <v:rect id="Rectangle 2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0048" behindDoc="0" locked="0" layoutInCell="1" allowOverlap="1" wp14:anchorId="47E0F5DC" wp14:editId="7E21231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21"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2" name="Ellipse 2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23" name="Rectangle 23"/>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B244A4" id="Groupe 53" o:spid="_x0000_s1026" style="position:absolute;margin-left:0;margin-top:10in;width:43.2pt;height:43.2pt;z-index:25165004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omntQIAAFoHAAAOAAAAZHJzL2Uyb0RvYy54bWzMVctO3DAU3VfqP1jZlzwGpiEigxAMdEEB&#10;FaquPY7zUB3bss1k+PteXycDDLSqaFV1E9nxfZ5zrn10vOkFWXNjOyXLKN1LIsIlU1UnmzL6enf+&#10;IY+IdVRWVCjJy+iB2+h48f7d0aALnqlWiYobAkGkLQZdRq1zuohjy1reU7unNJdwWCvTUwdb08SV&#10;oQNE70WcJck8HpSptFGMWwt/z8JhtMD4dc2Zu65ryx0RZQS1Ofwa/K78N14c0aIxVLcdG8ugb6ii&#10;p52EpNtQZ9RRcm+6F6H6jhllVe32mOpjVdcd49gDdJMmO91cGHWvsZemGBq9hQmg3cHpzWHZ1frG&#10;kK4qoyyNiKQ9cIRpOTmYeXQG3RRgdGH0rb4xoUVYXir23cJxvHvu900wJqvhs6ogIL13CtHZ1Kb3&#10;IaBvskESHrYk8I0jDH4e7OfzfaCKwdG4RpJYC0x6rzSZQ2kEjtP9+eHHQCFrl6M/eAdnv/AV0iKk&#10;xVLH0nxfIDj7iKn9M0xvW6o5UmU9XBOm2YTpUohOW06yLICKVhOiNsBJpDptqWz4iTFqaDmtoKgU&#10;e/DVQtjg4DcWyHgdX1JDpk/e8QnSaZLPAVPELD/MA2YT4hmAiHDPEqR8ixgttLHugque+EUZ8dAF&#10;RqbrS+sCvpOVT2iV6KrzTgjcmGZ1KgxZUxi/82U+nyFdkOCZmZBkKKNZniae916DGquVwCzP7Ozv&#10;hYOpkRVqxmO4HNeOdiKsIb2QKN2AYxDDSlUPgKlReEf46n1bd5tv1OixfQeIXamJalrsQBBsvadU&#10;JyD5ukN8PF0h+JgTZPev9AdzEmb6C9yEIC0BChzH+omggI6/qUCPwDjhr87qpLufTuoL3Rmo/lei&#10;k8orDin3zHoCxh//Bdd488AFjpfR+Nj4F+LpHrXx+CQufgAAAP//AwBQSwMEFAAGAAgAAAAhAJD8&#10;SdLcAAAACQEAAA8AAABkcnMvZG93bnJldi54bWxMT0FOwzAQvCPxB2uRuCDqUEJUpXEqQI04EyKh&#10;3px4cSLidRS7bfg9y4neZmdGszPFbnGjOOEcBk8KHlYJCKTOm4Gsguajut+ACFGT0aMnVPCDAXbl&#10;9VWhc+PP9I6nOlrBIRRyraCPccqlDF2PToeVn5BY+/Kz05HP2Uoz6zOHu1GukySTTg/EH3o94WuP&#10;3Xd9dApa12W1/az2eOfbF3t4bJrqba/U7c3yvAURcYn/Zvirz9Wh5E6tP5IJYlTAQyKzaZowYn2T&#10;pSBaZp7WjGRZyMsF5S8AAAD//wMAUEsBAi0AFAAGAAgAAAAhALaDOJL+AAAA4QEAABMAAAAAAAAA&#10;AAAAAAAAAAAAAFtDb250ZW50X1R5cGVzXS54bWxQSwECLQAUAAYACAAAACEAOP0h/9YAAACUAQAA&#10;CwAAAAAAAAAAAAAAAAAvAQAAX3JlbHMvLnJlbHNQSwECLQAUAAYACAAAACEAe7qJp7UCAABaBwAA&#10;DgAAAAAAAAAAAAAAAAAuAgAAZHJzL2Uyb0RvYy54bWxQSwECLQAUAAYACAAAACEAkPxJ0twAAAAJ&#10;AQAADwAAAAAAAAAAAAAAAAAPBQAAZHJzL2Rvd25yZXYueG1sUEsFBgAAAAAEAAQA8wAAABgGAAAA&#10;AA==&#10;">
                <v:oval id="Ellipse 2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5gkwQAAANsAAAAPAAAAZHJzL2Rvd25yZXYueG1sRI/disIw&#10;FITvhX2HcBa803TLItI1igiLwir4t/eH5tgUm5OSRK1vbwTBy2FmvmEms8424ko+1I4VfA0zEMSl&#10;0zVXCo6H38EYRIjIGhvHpOBOAWbTj94EC+1uvKPrPlYiQTgUqMDE2BZShtKQxTB0LXHyTs5bjEn6&#10;SmqPtwS3jcyzbCQt1pwWDLa0MFSe9xerYLusTfXdLaVebN187Tf/mz/XKNX/7OY/ICJ18R1+tVda&#10;QZ7D80v6AXL6AAAA//8DAFBLAQItABQABgAIAAAAIQDb4fbL7gAAAIUBAAATAAAAAAAAAAAAAAAA&#10;AAAAAABbQ29udGVudF9UeXBlc10ueG1sUEsBAi0AFAAGAAgAAAAhAFr0LFu/AAAAFQEAAAsAAAAA&#10;AAAAAAAAAAAAHwEAAF9yZWxzLy5yZWxzUEsBAi0AFAAGAAgAAAAhAEYTmCTBAAAA2wAAAA8AAAAA&#10;AAAAAAAAAAAABwIAAGRycy9kb3ducmV2LnhtbFBLBQYAAAAAAwADALcAAAD1AgAAAAA=&#10;" fillcolor="#fe8637" strokecolor="#fe8637" strokeweight="3pt">
                  <v:stroke linestyle="thinThin"/>
                </v:oval>
                <v:rect id="Rectangle 2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1072" behindDoc="0" locked="0" layoutInCell="1" allowOverlap="1" wp14:anchorId="1C44CE0B" wp14:editId="4AC8AB2C">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24" name="Groupe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5" name="Ellipse 2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26" name="Rectangle 26"/>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0C3EE2" id="Groupe 50" o:spid="_x0000_s1026" style="position:absolute;margin-left:0;margin-top:10in;width:43.2pt;height:43.2pt;z-index:25165107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xmBrgIAAFoHAAAOAAAAZHJzL2Uyb0RvYy54bWzMlVtP2zAYhu8n7T9Yvl+T9JCFiBQhaNkF&#10;AzSYdu06zkFzbMs2Tfn3+2wnQAubJqZNu4mc2P4Oz/vaOT7ZdRxtmTatFAVOJjFGTFBZtqIu8Ne7&#10;9YcMI2OJKAmXghX4gRl8snz/7rhXOZvKRvKSaQRBhMl7VeDGWpVHkaEN64iZSMUETFZSd8TCq66j&#10;UpMeonc8msZxGvVSl0pLyoyBr+dhEi99/Kpi1F5XlWEW8QJDbdY/tX9u3DNaHpO81kQ1LR3KIG+o&#10;oiOtgKSPoc6JJehety9CdS3V0sjKTqjsIllVLWW+B+gmiQ+6udDyXvle6ryv1SMmQHvA6c1h6dX2&#10;RqO2LPB0jpEgHWjk0zK08HR6Veew6EKrW3WjQ4swvJT0uwF40eG8e6/DYrTpP8sSApJ7Kz2dXaU7&#10;FwL6RjsvwsOjCGxnEYWPi3mWzkEqClPD2ItEG1DS7UridDHDCKaTeXr0MUhIm9WwH3aHzW7gKiR5&#10;SOtLHUpz/gDDmSem5s+Y3jZEMS+VcbhGpouR6YrzVhmGpgtXk0sOq0aiJuBEQp41RNTsVGvZN4yU&#10;UFTie9jb4F4MiPE6X1RBpk9u4zPSSZylwNQzy46ywGwkPgWIHvcsnu0RI7nSxl4w2SE3KDALXfjI&#10;ZHtpbOA7rnIJjeRtuW459y+63pxxjbYEjt96laUzLxdIsreMC9QXeJYlsdO9U+DGcsN9lr115vfC&#10;wakRpfeMY7gaxpa0PIwhPRfeuoFj0GMjywdgqqW/I1z1rq273Tei1dC+BWJXcpSa5AcIwlq3U8hT&#10;sHzVej5OrhB8yAm2+1f+S0f/fYGbEKzFwYHp33agIzCc8FfP6ui7n57UF77TUP2vTCekc5yX3Cnr&#10;BBg+/Bda+5sHLnB/GQ0/G/eHeP7uvfH0S1z+A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AjKxmBrgIAAFoHAAAOAAAAAAAA&#10;AAAAAAAAAC4CAABkcnMvZTJvRG9jLnhtbFBLAQItABQABgAIAAAAIQCQ/EnS3AAAAAkBAAAPAAAA&#10;AAAAAAAAAAAAAAgFAABkcnMvZG93bnJldi54bWxQSwUGAAAAAAQABADzAAAAEQYAAAAA&#10;">
                <v:oval id="Ellipse 2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BQwQAAANsAAAAPAAAAZHJzL2Rvd25yZXYueG1sRI/NigIx&#10;EITvC75DaGFva0ZxRUajiCAKu4K/92bSTgYnnSGJOvv2G0HwWFTVV9R03tpa3MmHyrGCfi8DQVw4&#10;XXGp4HRcfY1BhIissXZMCv4owHzW+Zhirt2D93Q/xFIkCIccFZgYm1zKUBiyGHquIU7exXmLMUlf&#10;Su3xkeC2loMsG0mLFacFgw0tDRXXw80q2K0rUw7btdTLnVv8+u15++NqpT677WICIlIb3+FXe6MV&#10;DL7h+SX9ADn7BwAA//8DAFBLAQItABQABgAIAAAAIQDb4fbL7gAAAIUBAAATAAAAAAAAAAAAAAAA&#10;AAAAAABbQ29udGVudF9UeXBlc10ueG1sUEsBAi0AFAAGAAgAAAAhAFr0LFu/AAAAFQEAAAsAAAAA&#10;AAAAAAAAAAAAHwEAAF9yZWxzLy5yZWxzUEsBAi0AFAAGAAgAAAAhAMn6AFDBAAAA2wAAAA8AAAAA&#10;AAAAAAAAAAAABwIAAGRycy9kb3ducmV2LnhtbFBLBQYAAAAAAwADALcAAAD1AgAAAAA=&#10;" fillcolor="#fe8637" strokecolor="#fe8637" strokeweight="3pt">
                  <v:stroke linestyle="thinThin"/>
                </v:oval>
                <v:rect id="Rectangle 2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2096" behindDoc="0" locked="0" layoutInCell="1" allowOverlap="1" wp14:anchorId="16A13CA9" wp14:editId="209DFC62">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27" name="Groupe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28" name="Ellipse 2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29" name="Rectangle 29"/>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ADCF45" id="Groupe 47" o:spid="_x0000_s1026" style="position:absolute;margin-left:0;margin-top:10in;width:43.2pt;height:43.2pt;z-index:25165209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vtswIAAFoHAAAOAAAAZHJzL2Uyb0RvYy54bWzMlV1P2zAUhu8n7T9YuR9J2lLSiBQhKOyC&#10;MTSYdu06zofm2JZtmvLvd3ycFChsmpg27SayY/v4nOd9bR+fbDtBNtzYVskiSg+SiHDJVNnKuoi+&#10;3l18yCJiHZUlFUryInrgNjpZvn933OucT1SjRMkNgSDS5r0uosY5ncexZQ3vqD1QmksYrJTpqIOu&#10;qePS0B6idyKeJMk87pUptVGMWwt/z8NgtMT4VcWZ+1xVljsiighyc/g1+F37b7w8pnltqG5aNqRB&#10;35BFR1sJm+5CnVNHyb1pX4TqWmaUVZU7YKqLVVW1jGMNUE2a7FVzadS9xlrqvK/1DhOg3eP05rDs&#10;enNjSFsW0eQoIpJ2oBFuy8nsyNPpdZ3DpEujb/WNCSVC80qx7xaG4/1x36/DZLLuP6kSAtJ7p5DO&#10;tjKdDwF1ky2K8LATgW8dYfDzcJbNZyAVg6GhjSKxBpT0q9JkfjiNCAyns/kCk6Q5a1bDelgdFvuG&#10;z5DmYVtMdUjN1wWGs49M7Z8xvW2o5iiV9bhGpuD+wHQlRKstJ5MsQMVZI1EbcBKpzhoqa35qjOob&#10;TktIKsUafLYQNizwHQtivM6XVLDTR7/wCek0yebAFJllC8yB5iPxCUBE3NNk+owYzbWx7pKrjvhG&#10;EfFQBUammyvrAt9xlt/QKtGWF60Q2DH1+kwYsqFw/C5W2XyKcoEkz6YJSfoimmZp4nXvNLixXAvc&#10;5dk8+3vh4NTIEj3jGa6GtqOtCG3YXki0buAYzLBW5QMwNQrvCJ+9L+tu+40aPZTvgNi1GqWm+R6C&#10;MNevlOoULF+1yMfLFYIPe4Lt/pX/FqP/vsBNCNYS4MDF33agJzCc8FfP6ui7n57UF74zkP2vTCeV&#10;dxxK7pX1Agw//gut8eaBCxwvo+Gx8S/E0z564/FJXP4AAAD//wMAUEsDBBQABgAIAAAAIQCQ/EnS&#10;3AAAAAkBAAAPAAAAZHJzL2Rvd25yZXYueG1sTE9BTsMwELwj8Qdrkbgg6lBCVKVxKkCNOBMiod6c&#10;eHEi4nUUu234PcuJ3mZnRrMzxW5xozjhHAZPCh5WCQikzpuBrILmo7rfgAhRk9GjJ1TwgwF25fVV&#10;oXPjz/SOpzpawSEUcq2gj3HKpQxdj06HlZ+QWPvys9ORz9lKM+szh7tRrpMkk04PxB96PeFrj913&#10;fXQKWtdltf2s9njn2xd7eGya6m2v1O3N8rwFEXGJ/2b4q8/VoeROrT+SCWJUwEMis2maMGJ9k6Ug&#10;Wmae1oxkWcjLBeUvAAAA//8DAFBLAQItABQABgAIAAAAIQC2gziS/gAAAOEBAAATAAAAAAAAAAAA&#10;AAAAAAAAAABbQ29udGVudF9UeXBlc10ueG1sUEsBAi0AFAAGAAgAAAAhADj9If/WAAAAlAEAAAsA&#10;AAAAAAAAAAAAAAAALwEAAF9yZWxzLy5yZWxzUEsBAi0AFAAGAAgAAAAhAJ1ma+2zAgAAWgcAAA4A&#10;AAAAAAAAAAAAAAAALgIAAGRycy9lMm9Eb2MueG1sUEsBAi0AFAAGAAgAAAAhAJD8SdLcAAAACQEA&#10;AA8AAAAAAAAAAAAAAAAADQUAAGRycy9kb3ducmV2LnhtbFBLBQYAAAAABAAEAPMAAAAWBgAAAAA=&#10;">
                <v:oval id="Ellipse 2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vwAAANsAAAAPAAAAZHJzL2Rvd25yZXYueG1sRE9da8Iw&#10;FH0X/A/hCr7ZdCIinVFEEAdbQev2fmnumrLmpiTRdv/ePAz2eDjf2/1oO/EgH1rHCl6yHARx7XTL&#10;jYLP22mxAREissbOMSn4pQD73XSyxUK7ga/0qGIjUgiHAhWYGPtCylAbshgy1xMn7tt5izFB30jt&#10;cUjhtpPLPF9Liy2nBoM9HQ3VP9XdKricW9OsxrPUx4s7fPjyq3x3nVLz2Xh4BRFpjP/iP/ebVrBM&#10;Y9OX9APk7gkAAP//AwBQSwECLQAUAAYACAAAACEA2+H2y+4AAACFAQAAEwAAAAAAAAAAAAAAAAAA&#10;AAAAW0NvbnRlbnRfVHlwZXNdLnhtbFBLAQItABQABgAIAAAAIQBa9CxbvwAAABUBAAALAAAAAAAA&#10;AAAAAAAAAB8BAABfcmVscy8ucmVsc1BLAQItABQABgAIAAAAIQAn+6/OvwAAANsAAAAPAAAAAAAA&#10;AAAAAAAAAAcCAABkcnMvZG93bnJldi54bWxQSwUGAAAAAAMAAwC3AAAA8wIAAAAA&#10;" fillcolor="#fe8637" strokecolor="#fe8637" strokeweight="3pt">
                  <v:stroke linestyle="thinThin"/>
                </v:oval>
                <v:rect id="Rectangle 2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pQ/xAAAANsAAAAPAAAAZHJzL2Rvd25yZXYueG1sRI9Ba8JA&#10;FITvhf6H5RW8FN3UQ2ljNlKEYhBBGqvnR/aZhGbfxuyaxH/fFQSPw8x8wyTL0TSip87VlhW8zSIQ&#10;xIXVNZcKfvff0w8QziNrbCyTgis5WKbPTwnG2g78Q33uSxEg7GJUUHnfxlK6oiKDbmZb4uCdbGfQ&#10;B9mVUnc4BLhp5DyK3qXBmsNChS2tKir+8otRMBS7/rjfruXu9ZhZPmfnVX7YKDV5Gb8WIDyN/hG+&#10;tzOtYP4Jty/hB8j0HwAA//8DAFBLAQItABQABgAIAAAAIQDb4fbL7gAAAIUBAAATAAAAAAAAAAAA&#10;AAAAAAAAAABbQ29udGVudF9UeXBlc10ueG1sUEsBAi0AFAAGAAgAAAAhAFr0LFu/AAAAFQEAAAsA&#10;AAAAAAAAAAAAAAAAHwEAAF9yZWxzLy5yZWxzUEsBAi0AFAAGAAgAAAAhAFBalD/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3120" behindDoc="0" locked="0" layoutInCell="1" allowOverlap="1" wp14:anchorId="42A0EFDE" wp14:editId="3A2E0D7F">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30"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1" name="Ellipse 3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32" name="Rectangle 32"/>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CA10DD" id="Groupe 44" o:spid="_x0000_s1026" style="position:absolute;margin-left:0;margin-top:10in;width:43.2pt;height:43.2pt;z-index:25165312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6JrgIAAFoHAAAOAAAAZHJzL2Uyb0RvYy54bWzMlV1v2yAUhu8n7T8g3y+2kzRzrTpV1Sbd&#10;RddWa6ddE4w/NAwIaJz++x0Odj/Sbpo6bdqNBQYO5zzvCxwd7zpBttzYVskiSidJRLhkqmxlXURf&#10;b9cfsohYR2VJhZK8iO65jY6X798d9TrnU9UoUXJDIIi0ea+LqHFO53FsWcM7aidKcwmDlTIdddA1&#10;dVwa2kP0TsTTJFnEvTKlNopxa+HvWRiMlhi/qjhzV1VluSOiiCA3h1+D343/xssjmteG6qZlQxr0&#10;DVl0tJWw6UOoM+oouTPti1Bdy4yyqnITprpYVVXLONYA1aTJXjXnRt1prKXO+1o/YAK0e5zeHJZd&#10;bq8NacsimgEeSTvQCLflZD73dHpd5zDp3OgbfW1CidC8UOy7heF4f9z36zCZbPrPqoSA9M4ppLOr&#10;TOdDQN1khyLcP4jAd44w+HkwzxZzyIXB0NBGkVgDSvpVabI4mEUEhtP54vBjkJA1q2E9rA6LfcNn&#10;SPOwLaY6pObrAsPZR6b2z5jeNFRzlMp6XCPTdGS6EqLVlpNZGqDirJGoDTiJVKcNlTU/MUb1Dacl&#10;JIXzIfUnC3zHghiv8yUV7PTJL3xCOk2yBTBFZtlhFpiNxKcAEXHPktkzYjTXxrpzrjriG0XEQxUY&#10;mW4vrAt8x1l+Q6tEW65bIbBj6s2pMGRL4fitV9lihnKBJM+mCUl6MGCWJl73ToMby43AXZ7Ns78X&#10;Dk6NLNEznuFqaDvaitCG7YVE6waOwQwbVd4DU6PwjvDZ+7Jud9+o0UP5DohdqlFqmu8hCHP9SqlO&#10;wPJVi3y8XCH4sCfY7l/5bzr67wvchGAtAQ6c/m0HegLDCX/1rI6+++lJfeE7A9n/ynRSeceh5F5Z&#10;L8Dw47/QGm8euMDxMhoeG/9CPO2jNx6fxOUPA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DVAX6JrgIAAFoHAAAOAAAAAAAA&#10;AAAAAAAAAC4CAABkcnMvZTJvRG9jLnhtbFBLAQItABQABgAIAAAAIQCQ/EnS3AAAAAkBAAAPAAAA&#10;AAAAAAAAAAAAAAgFAABkcnMvZG93bnJldi54bWxQSwUGAAAAAAQABADzAAAAEQYAAAAA&#10;">
                <v:oval id="Ellipse 3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JCOwgAAANsAAAAPAAAAZHJzL2Rvd25yZXYueG1sRI/NigIx&#10;EITvC/sOoQVva8YfZBmNIsKioIK6em8m7WRw0hmSqLNvvxEEj0VVfUVN562txZ18qBwr6PcyEMSF&#10;0xWXCk6/P1/fIEJE1lg7JgV/FGA++/yYYq7dgw90P8ZSJAiHHBWYGJtcylAYshh6riFO3sV5izFJ&#10;X0rt8ZHgtpaDLBtLixWnBYMNLQ0V1+PNKtivKlOO2pXUy71bbP3uvNu4Wqlup11MQERq4zv8aq+1&#10;gmEfnl/SD5CzfwAAAP//AwBQSwECLQAUAAYACAAAACEA2+H2y+4AAACFAQAAEwAAAAAAAAAAAAAA&#10;AAAAAAAAW0NvbnRlbnRfVHlwZXNdLnhtbFBLAQItABQABgAIAAAAIQBa9CxbvwAAABUBAAALAAAA&#10;AAAAAAAAAAAAAB8BAABfcmVscy8ucmVsc1BLAQItABQABgAIAAAAIQAzGJCOwgAAANsAAAAPAAAA&#10;AAAAAAAAAAAAAAcCAABkcnMvZG93bnJldi54bWxQSwUGAAAAAAMAAwC3AAAA9gIAAAAA&#10;" fillcolor="#fe8637" strokecolor="#fe8637" strokeweight="3pt">
                  <v:stroke linestyle="thinThin"/>
                </v:oval>
                <v:rect id="Rectangle 3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5CTxAAAANsAAAAPAAAAZHJzL2Rvd25yZXYueG1sRI9Ba8JA&#10;FITvhf6H5RW8FN3UQ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NsnkJP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4144" behindDoc="0" locked="0" layoutInCell="1" allowOverlap="1" wp14:anchorId="331EF4A3" wp14:editId="255A40B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33" name="Groupe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4" name="Ellipse 3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35" name="Rectangle 35"/>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1C9242" id="Groupe 41" o:spid="_x0000_s1026" style="position:absolute;margin-left:0;margin-top:10in;width:43.2pt;height:43.2pt;z-index:25165414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EptQIAAFoHAAAOAAAAZHJzL2Uyb0RvYy54bWzMlctO3DAUhveV+g5W9iUJc2mIyCAEA11Q&#10;QIWqa4/jXFTHtmwzGd6+x8fJwAy0qmhVdRM5sX0u3//bOT7ZdIKsubGtkkWUHiQR4ZKpspV1EX29&#10;v/iQRcQ6KksqlORF9MhtdLJ4/+641zk/VI0SJTcEgkib97qIGud0HseWNbyj9kBpLmGyUqajDl5N&#10;HZeG9hC9E/FhkszjXplSG8W4tfD1PExGC4xfVZy5m6qy3BFRRFCbw6fB58o/48UxzWtDddOyoQz6&#10;hio62kpIug11Th0lD6Z9EaprmVFWVe6AqS5WVdUyjj1AN2my182lUQ8ae6nzvtZbTIB2j9Obw7Lr&#10;9a0hbVlEk0lEJO1AI0zLyTT1dHpd57Do0ug7fWtCizC8Uuy7hel4f96/12ExWfWfVQkB6YNTSGdT&#10;mc6HgL7JBkV43IrAN44w+DibZvMpSMVgahijSKwBJf2uNJnPoFaYTqfzo49BQtYsh/2wO2z2A18h&#10;zUNaLHUozfcFhrNPTO2fMb1rqOYolfW4RqZQSmC6FKLVlpMJ1uSTw6qRqA04iVRnDZU1PzVG9Q2n&#10;JRSFIkDpzzb4FwtivM6XVJDpk9/4jHSaZHNgisyyoywwG4kfAkTEPUkmO8Roro11l1x1xA+KiIcu&#10;MDJdX1kX+I6rfEKrRFtetELgi6lXZ8KQNYXjd7HM5hOUCyTZWSYk6cGAWZp43TsNbixXArPsrLO/&#10;Fw5OjSzRM57hchg72oowhvRConUDx2CGlSofgalReEf46n1b95tv1OihfQfErtUoNc33EIS1fqdU&#10;p2D5qkU+Xq4QfMgJtvtX/puN/vsCNyFYS4ADZ17jHUOBHH/TgZ7AcMJfPauj7356Ul/4zkD1vzKd&#10;VN5xKLlX1gswfPgvtMabBy5wvIyGn43/Qzx/R288/RIXPwAAAP//AwBQSwMEFAAGAAgAAAAhAJD8&#10;SdLcAAAACQEAAA8AAABkcnMvZG93bnJldi54bWxMT0FOwzAQvCPxB2uRuCDqUEJUpXEqQI04EyKh&#10;3px4cSLidRS7bfg9y4neZmdGszPFbnGjOOEcBk8KHlYJCKTOm4Gsguajut+ACFGT0aMnVPCDAXbl&#10;9VWhc+PP9I6nOlrBIRRyraCPccqlDF2PToeVn5BY+/Kz05HP2Uoz6zOHu1GukySTTg/EH3o94WuP&#10;3Xd9dApa12W1/az2eOfbF3t4bJrqba/U7c3yvAURcYn/Zvirz9Wh5E6tP5IJYlTAQyKzaZowYn2T&#10;pSBaZp7WjGRZyMsF5S8AAAD//wMAUEsBAi0AFAAGAAgAAAAhALaDOJL+AAAA4QEAABMAAAAAAAAA&#10;AAAAAAAAAAAAAFtDb250ZW50X1R5cGVzXS54bWxQSwECLQAUAAYACAAAACEAOP0h/9YAAACUAQAA&#10;CwAAAAAAAAAAAAAAAAAvAQAAX3JlbHMvLnJlbHNQSwECLQAUAAYACAAAACEAMI3BKbUCAABaBwAA&#10;DgAAAAAAAAAAAAAAAAAuAgAAZHJzL2Uyb0RvYy54bWxQSwECLQAUAAYACAAAACEAkPxJ0twAAAAJ&#10;AQAADwAAAAAAAAAAAAAAAAAPBQAAZHJzL2Rvd25yZXYueG1sUEsFBgAAAAAEAAQA8wAAABgGAAAA&#10;AA==&#10;">
                <v:oval id="Ellipse 3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MWwQAAANsAAAAPAAAAZHJzL2Rvd25yZXYueG1sRI9BawIx&#10;FITvQv9DeAVvmrWKlNUoIhSFKqjV+2Pz3CxuXpYk6vbfG0HwOMzMN8x03tpa3MiHyrGCQT8DQVw4&#10;XXGp4Pj30/sGESKyxtoxKfinAPPZR2eKuXZ33tPtEEuRIBxyVGBibHIpQ2HIYui7hjh5Z+ctxiR9&#10;KbXHe4LbWn5l2VharDgtGGxoaai4HK5WwW5VmXLUrqRe7txi47en7a+rlep+tosJiEhtfIdf7bVW&#10;MBzB80v6AXL2AAAA//8DAFBLAQItABQABgAIAAAAIQDb4fbL7gAAAIUBAAATAAAAAAAAAAAAAAAA&#10;AAAAAABbQ29udGVudF9UeXBlc10ueG1sUEsBAi0AFAAGAAgAAAAhAFr0LFu/AAAAFQEAAAsAAAAA&#10;AAAAAAAAAAAAHwEAAF9yZWxzLy5yZWxzUEsBAi0AFAAGAAgAAAAhACNvMxbBAAAA2wAAAA8AAAAA&#10;AAAAAAAAAAAABwIAAGRycy9kb3ducmV2LnhtbFBLBQYAAAAAAwADALcAAAD1AgAAAAA=&#10;" fillcolor="#fe8637" strokecolor="#fe8637" strokeweight="3pt">
                  <v:stroke linestyle="thinThin"/>
                </v:oval>
                <v:rect id="Rectangle 3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jnxAAAANsAAAAPAAAAZHJzL2Rvd25yZXYueG1sRI9Ba8JA&#10;FITvBf/D8gQvohstFUldRQQxSEGM1vMj+5qEZt/G7Jqk/75bEHocZuYbZrXpTSVaalxpWcFsGoEg&#10;zqwuOVdwvewnSxDOI2usLJOCH3KwWQ9eVhhr2/GZ2tTnIkDYxaig8L6OpXRZQQbd1NbEwfuyjUEf&#10;ZJNL3WAX4KaS8yhaSIMlh4UCa9oVlH2nD6Ogy07t7fJxkKfxLbF8T+679POo1GjYb99BeOr9f/jZ&#10;TrSC1zf4+xJ+gFz/AgAA//8DAFBLAQItABQABgAIAAAAIQDb4fbL7gAAAIUBAAATAAAAAAAAAAAA&#10;AAAAAAAAAABbQ29udGVudF9UeXBlc10ueG1sUEsBAi0AFAAGAAgAAAAhAFr0LFu/AAAAFQEAAAsA&#10;AAAAAAAAAAAAAAAAHwEAAF9yZWxzLy5yZWxzUEsBAi0AFAAGAAgAAAAhAFTOCOf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5168" behindDoc="0" locked="0" layoutInCell="1" allowOverlap="1" wp14:anchorId="459BD4A6" wp14:editId="6FE25229">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36" name="Group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37" name="Ellipse 3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38" name="Rectangle 38"/>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D28B9D" id="Groupe 38" o:spid="_x0000_s1026" style="position:absolute;margin-left:0;margin-top:10in;width:43.2pt;height:43.2pt;z-index:25165516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FRFrQIAAFoHAAAOAAAAZHJzL2Uyb0RvYy54bWzMVctO3DAU3VfqP1jZlyQMhBCRQQgGuqAU&#10;FaquPY7zUB3bss1k+PteXycMM9CqomrVTWTH93nOufbJ6boXZMWN7ZQso3QviQiXTFWdbMro6/3l&#10;hzwi1lFZUaEkL6NHbqPT+ft3J4Mu+L5qlai4IRBE2mLQZdQ6p4s4tqzlPbV7SnMJh7UyPXWwNU1c&#10;GTpA9F7E+0mSxYMylTaKcWvh70U4jOYYv645c5/r2nJHRBlBbQ6/Br9L/43nJ7RoDNVtx8Yy6Buq&#10;6GknIelTqAvqKHkw3YtQfceMsqp2e0z1sarrjnHsAbpJk51urox60NhLUwyNfoIJoN3B6c1h2c3q&#10;1pCuKqNZFhFJe+AI03Iyyz06g24KMLoy+k7fmtAiLK8V+27hON499/smGJPl8ElVEJA+OIXorGvT&#10;+xDQN1kjCY9PJPC1Iwx+Hh7k2QFQxeBoXCNJrAUmvVeaZIeziMBxepAdHwUKWbsY/cE7OPuFr5AW&#10;IS2WOpbm+wLB2Q2m9s8wvWup5kiV9XBNmB5NmC6E6LQFULFenxysJkRtgJNIdd5S2fAzY9TQclpB&#10;USn2sOXgNxbIeB1fUkOmj97xGdJpkmeAKWKWHyOxtJgQ3wcQEe5ZMttCjBbaWHfFVU/8oox46AIj&#10;09W1dQHfycontEp01WUnBG5MszwXhqwojN/lIs9C+0DJlpmQZAAB5mniee81qLFaCsyyZWd/LxxM&#10;jaxQMx7Dxbh2tBNhDemFROkGHIMYlqp6BEyNwjvCV+/bul9/o0aP7TtA7EZNVNNiB4Jg6z2lOgPJ&#10;1x3i4+kKwcecILt/pT+4fcNMf4GbEKQlNmP99xToERgn/NVZnXT300l9oTsD1f9KdFJ5xSHlnllP&#10;wPjjv+Aabx64wPEyGh8b/0I836M2Nk/i/AcA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NIQVEWtAgAAWgcAAA4AAAAAAAAA&#10;AAAAAAAALgIAAGRycy9lMm9Eb2MueG1sUEsBAi0AFAAGAAgAAAAhAJD8SdLcAAAACQEAAA8AAAAA&#10;AAAAAAAAAAAABwUAAGRycy9kb3ducmV2LnhtbFBLBQYAAAAABAAEAPMAAAAQBgAAAAA=&#10;">
                <v:oval id="Ellipse 3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1hwwAAANsAAAAPAAAAZHJzL2Rvd25yZXYueG1sRI9Ra8Iw&#10;FIXfB/sP4Q72NtM50dGZFhHEgRO00/dLc9eUNTclybT+ezMQfDycc77DmZeD7cSJfGgdK3gdZSCI&#10;a6dbbhQcvlcv7yBCRNbYOSYFFwpQFo8Pc8y1O/OeTlVsRIJwyFGBibHPpQy1IYth5Hri5P04bzEm&#10;6RupPZ4T3HZynGVTabHltGCwp6Wh+rf6swp269Y0k2Et9XLnFl9+e9xuXKfU89Ow+AARaYj38K39&#10;qRW8zeD/S/oBsrgCAAD//wMAUEsBAi0AFAAGAAgAAAAhANvh9svuAAAAhQEAABMAAAAAAAAAAAAA&#10;AAAAAAAAAFtDb250ZW50X1R5cGVzXS54bWxQSwECLQAUAAYACAAAACEAWvQsW78AAAAVAQAACwAA&#10;AAAAAAAAAAAAAAAfAQAAX3JlbHMvLnJlbHNQSwECLQAUAAYACAAAACEA072tYcMAAADbAAAADwAA&#10;AAAAAAAAAAAAAAAHAgAAZHJzL2Rvd25yZXYueG1sUEsFBgAAAAADAAMAtwAAAPcCAAAAAA==&#10;" fillcolor="#fe8637" strokecolor="#fe8637" strokeweight="3pt">
                  <v:stroke linestyle="thinThin"/>
                </v:oval>
                <v:rect id="Rectangle 3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6d5wgAAANsAAAAPAAAAZHJzL2Rvd25yZXYueG1sRE9Na4NA&#10;EL0H+h+WKeQS4poWSjCuUgIlEgqhps15cKcqdWeNu1X777uHQI6P953ms+nESINrLSvYRDEI4srq&#10;lmsFn+e39RaE88gaO8uk4I8c5NnDIsVE24k/aCx9LUIIuwQVNN73iZSuasigi2xPHLhvOxj0AQ61&#10;1ANOIdx08imOX6TBlkNDgz3tG6p+yl+jYKpO4+X8fpCn1aWwfC2u+/LrqNTycX7dgfA0+7v45i60&#10;gucwNnwJP0Bm/wAAAP//AwBQSwECLQAUAAYACAAAACEA2+H2y+4AAACFAQAAEwAAAAAAAAAAAAAA&#10;AAAAAAAAW0NvbnRlbnRfVHlwZXNdLnhtbFBLAQItABQABgAIAAAAIQBa9CxbvwAAABUBAAALAAAA&#10;AAAAAAAAAAAAAB8BAABfcmVscy8ucmVsc1BLAQItABQABgAIAAAAIQC6z6d5wgAAANsAAAAPAAAA&#10;AAAAAAAAAAAAAAcCAABkcnMvZG93bnJldi54bWxQSwUGAAAAAAMAAwC3AAAA9g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6192" behindDoc="0" locked="0" layoutInCell="1" allowOverlap="1" wp14:anchorId="0639D06E" wp14:editId="467B4C0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39" name="Groupe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0" name="Ellipse 4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41" name="Rectangle 41"/>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637F40" id="Groupe 35" o:spid="_x0000_s1026" style="position:absolute;margin-left:0;margin-top:10in;width:43.2pt;height:43.2pt;z-index:25165619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fH3tQIAAFoHAAAOAAAAZHJzL2Uyb0RvYy54bWzMlV1P2zAUhu8n7T9Yvh9JKHQhIkUICrtg&#10;gAbTrl3H+dAc27JNU/79jo/TQgubJjZNu4n8eXzO8752jk9WvSRLYV2nVUmzvZQSobiuOtWU9Ov9&#10;xYecEueZqpjUSpT0UTh6Mnv/7ngwhdjXrZaVsASCKFcMpqSt96ZIEsdb0TO3p41QMFlr2zMPXdsk&#10;lWUDRO9lsp+m02TQtjJWc+EcjJ7HSTrD+HUtuL+payc8kSWF3Dx+LX4X4ZvMjlnRWGbajo9psDdk&#10;0bNOwaGbUOfMM/Jguxeh+o5b7XTt97juE13XHRdYA1STpTvVXFr9YLCWphgas8EEaHc4vTksv17e&#10;WtJVJZ0cUaJYDxrhsYJMDgOdwTQFLLq05s7c2lgiNK80/+5gOtmdD/0mLiaL4bOuICB78BrprGrb&#10;hxBQN1mhCI8bEcTKEw6Dhwf59ACk4jA1tlEk3oKSYVeWTg8nlMB0djA9+hgl5O183A+74+bQCBmy&#10;Ih6LqY6phbrAcO6JqfszpnctMwKlcgHXyDTUEZnOpeyMEwRGECquWhN1ESdR+qxlqhGn1uqhFayC&#10;pDKsIWQLYeOG0HEgxut8SQ0nfQobn5HO0nwKuSCz/CiPzNbE9wEi4p6kky1irDDW+UuhexIaJRWx&#10;CozMllfOR77rVeFAp2VXXXRSYsc2izNpyZLB9buY59MJygWSbC2TigxgwDxLg+69ATdWC4mnbK1z&#10;vxcObo2q0DOB4Xxse9bJ2IbjpULrRo7RDAtdPQJTq/GNCNmHsu5X35g1Y/keiF3rtdSs2EEQ14ad&#10;Sp+C5esO+QS5YvDxTLDdv/JftvbfF3gJwVoSHIiO2jIUyPE3HRgIjDf81bu69t1Pb+oL31nI/lem&#10;Uzo4DiUPygYBxoH/Qmt8eeABx8do/NmEP8TzPnrj6Zc4+wEAAP//AwBQSwMEFAAGAAgAAAAhAJD8&#10;SdLcAAAACQEAAA8AAABkcnMvZG93bnJldi54bWxMT0FOwzAQvCPxB2uRuCDqUEJUpXEqQI04EyKh&#10;3px4cSLidRS7bfg9y4neZmdGszPFbnGjOOEcBk8KHlYJCKTOm4Gsguajut+ACFGT0aMnVPCDAXbl&#10;9VWhc+PP9I6nOlrBIRRyraCPccqlDF2PToeVn5BY+/Kz05HP2Uoz6zOHu1GukySTTg/EH3o94WuP&#10;3Xd9dApa12W1/az2eOfbF3t4bJrqba/U7c3yvAURcYn/Zvirz9Wh5E6tP5IJYlTAQyKzaZowYn2T&#10;pSBaZp7WjGRZyMsF5S8AAAD//wMAUEsBAi0AFAAGAAgAAAAhALaDOJL+AAAA4QEAABMAAAAAAAAA&#10;AAAAAAAAAAAAAFtDb250ZW50X1R5cGVzXS54bWxQSwECLQAUAAYACAAAACEAOP0h/9YAAACUAQAA&#10;CwAAAAAAAAAAAAAAAAAvAQAAX3JlbHMvLnJlbHNQSwECLQAUAAYACAAAACEAu03x97UCAABaBwAA&#10;DgAAAAAAAAAAAAAAAAAuAgAAZHJzL2Uyb0RvYy54bWxQSwECLQAUAAYACAAAACEAkPxJ0twAAAAJ&#10;AQAADwAAAAAAAAAAAAAAAAAPBQAAZHJzL2Rvd25yZXYueG1sUEsFBgAAAAAEAAQA8wAAABgGAAAA&#10;AA==&#10;">
                <v:oval id="Ellipse 4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ZovwAAANsAAAAPAAAAZHJzL2Rvd25yZXYueG1sRE9da8Iw&#10;FH0X/A/hCnuz6aSIdEYRQRS2gtbt/dLcNWXNTUmidv/ePAz2eDjf6+1oe3EnHzrHCl6zHARx43TH&#10;rYLP62G+AhEissbeMSn4pQDbzXSyxlK7B1/oXsdWpBAOJSowMQ6llKExZDFkbiBO3LfzFmOCvpXa&#10;4yOF214u8nwpLXacGgwOtDfU/NQ3q+B87ExbjEep92e3+/DVV/XueqVeZuPuDUSkMf6L/9wnraBI&#10;69OX9APk5gkAAP//AwBQSwECLQAUAAYACAAAACEA2+H2y+4AAACFAQAAEwAAAAAAAAAAAAAAAAAA&#10;AAAAW0NvbnRlbnRfVHlwZXNdLnhtbFBLAQItABQABgAIAAAAIQBa9CxbvwAAABUBAAALAAAAAAAA&#10;AAAAAAAAAB8BAABfcmVscy8ucmVsc1BLAQItABQABgAIAAAAIQAEUkZovwAAANsAAAAPAAAAAAAA&#10;AAAAAAAAAAcCAABkcnMvZG93bnJldi54bWxQSwUGAAAAAAMAAwC3AAAA8wIAAAAA&#10;" fillcolor="#fe8637" strokecolor="#fe8637" strokeweight="3pt">
                  <v:stroke linestyle="thinThin"/>
                </v:oval>
                <v:rect id="Rectangle 4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32ZxAAAANsAAAAPAAAAZHJzL2Rvd25yZXYueG1sRI9Ba8JA&#10;FITvhf6H5RV6KbpRRErMRopQGoogxur5kX0modm3Mbsm8d+7hYLHYWa+YZL1aBrRU+dqywpm0wgE&#10;cWF1zaWCn8Pn5B2E88gaG8uk4EYO1unzU4KxtgPvqc99KQKEXYwKKu/bWEpXVGTQTW1LHLyz7Qz6&#10;ILtS6g6HADeNnEfRUhqsOSxU2NKmouI3vxoFQ7HrT4ftl9y9nTLLl+yyyY/fSr2+jB8rEJ5G/wj/&#10;tzOtYDGDvy/hB8j0DgAA//8DAFBLAQItABQABgAIAAAAIQDb4fbL7gAAAIUBAAATAAAAAAAAAAAA&#10;AAAAAAAAAABbQ29udGVudF9UeXBlc10ueG1sUEsBAi0AFAAGAAgAAAAhAFr0LFu/AAAAFQEAAAsA&#10;AAAAAAAAAAAAAAAAHwEAAF9yZWxzLy5yZWxzUEsBAi0AFAAGAAgAAAAhAHPzfZn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7216" behindDoc="0" locked="0" layoutInCell="1" allowOverlap="1" wp14:anchorId="72FDC38E" wp14:editId="2E6B8CA0">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42"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3" name="Ellipse 4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44" name="Rectangle 44"/>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04CBC" id="Groupe 32" o:spid="_x0000_s1026" style="position:absolute;margin-left:0;margin-top:10in;width:43.2pt;height:43.2pt;z-index:25165721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ywMuAIAAFoHAAAOAAAAZHJzL2Uyb0RvYy54bWzMlV1P2zAUhu8n7T9Yvh9J2tKFiBQhKOxi&#10;Y2gw7dp1nA/NsS3bNOXf7/g4LVDYNLFp2k3kxPb5eN7XzvHJppdkLazrtCppdpBSIhTXVaeakn69&#10;vXiXU+I8UxWTWomS3gtHTxZv3xwPphAT3WpZCUsgiHLFYEraem+KJHG8FT1zB9oIBZO1tj3z8Gqb&#10;pLJsgOi9TCZpOk8GbStjNRfOwdfzOEkXGL+uBfef69oJT2RJoTaPT4vPVXgmi2NWNJaZtuNjGewV&#10;VfSsU5B0F+qceUbubPcsVN9xq52u/QHXfaLruuMCe4BusnSvm0ur7wz20hRDY3aYAO0ep1eH5Vfr&#10;a0u6qqSzCSWK9aARphVkOgl0BtMUsOjSmhtzbWOLMPyo+XcH08n+fHhv4mKyGj7pCgKyO6+Rzqa2&#10;fQgBfZMNinC/E0FsPOHw8XCWz2cgFYepcYwi8RaUDLuydH44pQSms9n86H2UkLfLcT/sjpvDIFTI&#10;ipgWSx1LC32B4dwDU/dnTG9aZgRK5QKuLVOoMzJdStkZJ8hsGqHiqi1RF3ESpc9aphpxaq0eWsEq&#10;KCrDHkK1EDZuCC8OxHiZL6kh04ew8RHpLM3nwBSZ5Ud5ZLYlPgGIiHuaYnU7Yqww1vlLoXsSBiUV&#10;sQuMzNYfnY98t6tCQqdlV110UuKLbVZn0pI1g+N3scznU5QLEjxZJhUZSjrNszTo3htwY7WSmOXJ&#10;Ovd74eDUqAo9Exgux7FnnYxjSC8VWjdyjGZY6eoemFqNd0SoPrR1u/nGrBnb90DsSm+lZsUegrg2&#10;7FT6FCxfd8gnyBWDjznBdv/Kf3AUov++wE0I1pLgQDwVTwwFcvxNBwYC4wl/8axufffTk/rMdxaq&#10;/5XplA6OQ8mDskGA8cN/oTXePHCB42U0/mzCH+LxO3rj4Ze4+AEAAP//AwBQSwMEFAAGAAgAAAAh&#10;AJD8SdLcAAAACQEAAA8AAABkcnMvZG93bnJldi54bWxMT0FOwzAQvCPxB2uRuCDqUEJUpXEqQI04&#10;EyKh3px4cSLidRS7bfg9y4neZmdGszPFbnGjOOEcBk8KHlYJCKTOm4Gsguajut+ACFGT0aMnVPCD&#10;AXbl9VWhc+PP9I6nOlrBIRRyraCPccqlDF2PToeVn5BY+/Kz05HP2Uoz6zOHu1GukySTTg/EH3o9&#10;4WuP3Xd9dApa12W1/az2eOfbF3t4bJrqba/U7c3yvAURcYn/Zvirz9Wh5E6tP5IJYlTAQyKzaZow&#10;Yn2TpSBaZp7WjGRZyMsF5S8AAAD//wMAUEsBAi0AFAAGAAgAAAAhALaDOJL+AAAA4QEAABMAAAAA&#10;AAAAAAAAAAAAAAAAAFtDb250ZW50X1R5cGVzXS54bWxQSwECLQAUAAYACAAAACEAOP0h/9YAAACU&#10;AQAACwAAAAAAAAAAAAAAAAAvAQAAX3JlbHMvLnJlbHNQSwECLQAUAAYACAAAACEA+tMsDLgCAABa&#10;BwAADgAAAAAAAAAAAAAAAAAuAgAAZHJzL2Uyb0RvYy54bWxQSwECLQAUAAYACAAAACEAkPxJ0twA&#10;AAAJAQAADwAAAAAAAAAAAAAAAAASBQAAZHJzL2Rvd25yZXYueG1sUEsFBgAAAAAEAAQA8wAAABsG&#10;AAAAAA==&#10;">
                <v:oval id="Ellipse 4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NgfwQAAANsAAAAPAAAAZHJzL2Rvd25yZXYueG1sRI9BawIx&#10;FITvQv9DeAVvmrWKlNUoIhSFKqjV+2Pz3CxuXpYk6vbfG0HwOMzMN8x03tpa3MiHyrGCQT8DQVw4&#10;XXGp4Pj30/sGESKyxtoxKfinAPPZR2eKuXZ33tPtEEuRIBxyVGBibHIpQ2HIYui7hjh5Z+ctxiR9&#10;KbXHe4LbWn5l2VharDgtGGxoaai4HK5WwW5VmXLUrqRe7txi47en7a+rlep+tosJiEhtfIdf7bVW&#10;MBrC80v6AXL2AAAA//8DAFBLAQItABQABgAIAAAAIQDb4fbL7gAAAIUBAAATAAAAAAAAAAAAAAAA&#10;AAAAAABbQ29udGVudF9UeXBlc10ueG1sUEsBAi0AFAAGAAgAAAAhAFr0LFu/AAAAFQEAAAsAAAAA&#10;AAAAAAAAAAAAHwEAAF9yZWxzLy5yZWxzUEsBAi0AFAAGAAgAAAAhAPSA2B/BAAAA2wAAAA8AAAAA&#10;AAAAAAAAAAAABwIAAGRycy9kb3ducmV2LnhtbFBLBQYAAAAAAwADALcAAAD1AgAAAAA=&#10;" fillcolor="#fe8637" strokecolor="#fe8637" strokeweight="3pt">
                  <v:stroke linestyle="thinThin"/>
                </v:oval>
                <v:rect id="Rectangle 4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8240" behindDoc="0" locked="0" layoutInCell="1" allowOverlap="1" wp14:anchorId="0C441640" wp14:editId="6BA4E7E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45"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6" name="Ellipse 46"/>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47" name="Rectangle 47"/>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A90984" id="Groupe 29" o:spid="_x0000_s1026" style="position:absolute;margin-left:0;margin-top:10in;width:43.2pt;height:43.2pt;z-index:25165824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9EFtwIAAFoHAAAOAAAAZHJzL2Uyb0RvYy54bWzMlU1v3CAQhu+V+h8Q98b27sZ1rHijKNmk&#10;hzaNmlQ9szb+UDEgIOvNv+8w2El2k1ZVWlW9WGBgmHneFzg+2faCbLixnZIFTQ5iSrgsVdXJpqBf&#10;by/eZZRYx2TFhJK8oPfc0pPl2zfHg875TLVKVNwQCCJtPuiCts7pPIps2fKe2QOluYTBWpmeOeia&#10;JqoMGyB6L6JZHKfRoEyljSq5tfD3PAzSJcava166z3VtuSOioJCbw6/B79p/o+UxyxvDdNuVYxrs&#10;FVn0rJOw6UOoc+YYuTPds1B9VxplVe0OStVHqq67kmMNUE0S71VzadSdxlqafGj0AyZAu8fp1WHL&#10;q821IV1V0MUhJZL1oBFuy8nsyNMZdJPDpEujb/S1CSVC86Mqv1sYjvbHfb8Jk8l6+KQqCMjunEI6&#10;29r0PgTUTbYowv2DCHzrSAk/DxdZugCpShga2yhS2YKSflUSp4dzSmA4WaRH74OEZbsa18PqsNg3&#10;fIYsD9tiqmNqvi4wnH1kav+M6U3LNEeprMc1MU0npishOm05WaQBKs6aiNqAk0h11jLZ8FNj1NBy&#10;VkFSCdbgs4WwYYHvWBDjZb6khp0++IVPSCdxlgJTZJYdZYHZRHwGEBH3PJ7vEGO5NtZdctUT3ygo&#10;D1VgZLb5aF3gO83yG1oluuqiEwI7plmfCUM2DI7fxSpL5ygXSLIzTUgyFHSeJbHXvdfgxmotcJed&#10;efb3wsGpkRV6xjNcjW3HOhHasL2QaN3AMZhhrap7YGoU3hE+e1/W7fYbM3os3wGxKzVJzfI9BGGu&#10;XynVKVi+7pCPlysEH/cE2/0r/4Gw4Ux/gZsQrCXAgSjBjqFAjr/pQE9gPOEvntXJdz89qc98ZyD7&#10;X5lOKu84lNwr6wUYf/wXWuPNAxc4XkbjY+NfiKd99Mbjk7j8AQAA//8DAFBLAwQUAAYACAAAACEA&#10;kPxJ0twAAAAJAQAADwAAAGRycy9kb3ducmV2LnhtbExPQU7DMBC8I/EHa5G4IOpQQlSlcSpAjTgT&#10;IqHenHhxIuJ1FLtt+D3Lid5mZ0azM8VucaM44RwGTwoeVgkIpM6bgayC5qO634AIUZPRoydU8IMB&#10;duX1VaFz48/0jqc6WsEhFHKtoI9xyqUMXY9Oh5WfkFj78rPTkc/ZSjPrM4e7Ua6TJJNOD8Qfej3h&#10;a4/dd310ClrXZbX9rPZ459sXe3hsmuptr9TtzfK8BRFxif9m+KvP1aHkTq0/kgliVMBDIrNpmjBi&#10;fZOlIFpmntaMZFnIywXlLwAAAP//AwBQSwECLQAUAAYACAAAACEAtoM4kv4AAADhAQAAEwAAAAAA&#10;AAAAAAAAAAAAAAAAW0NvbnRlbnRfVHlwZXNdLnhtbFBLAQItABQABgAIAAAAIQA4/SH/1gAAAJQB&#10;AAALAAAAAAAAAAAAAAAAAC8BAABfcmVscy8ucmVsc1BLAQItABQABgAIAAAAIQAlJ9EFtwIAAFoH&#10;AAAOAAAAAAAAAAAAAAAAAC4CAABkcnMvZTJvRG9jLnhtbFBLAQItABQABgAIAAAAIQCQ/EnS3AAA&#10;AAkBAAAPAAAAAAAAAAAAAAAAABEFAABkcnMvZG93bnJldi54bWxQSwUGAAAAAAQABADzAAAAGgYA&#10;AAAA&#10;">
                <v:oval id="Ellipse 46"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3uHwwAAANsAAAAPAAAAZHJzL2Rvd25yZXYueG1sRI9Ra8Iw&#10;FIXfB/sP4Q72NlOHyOiMUgqjgym4ur1fmrum2NyUJKv13xtB8PFwzvkOZ7WZbC9G8qFzrGA+y0AQ&#10;N0533Cr4OXy8vIEIEVlj75gUnCnAZv34sMJcuxN/01jHViQIhxwVmBiHXMrQGLIYZm4gTt6f8xZj&#10;kr6V2uMpwW0vX7NsKS12nBYMDlQaao71v1WwrzrTLqZK6nLviq3f/e6+XK/U89NUvIOINMV7+Nb+&#10;1AoWS7h+ST9Ari8AAAD//wMAUEsBAi0AFAAGAAgAAAAhANvh9svuAAAAhQEAABMAAAAAAAAAAAAA&#10;AAAAAAAAAFtDb250ZW50X1R5cGVzXS54bWxQSwECLQAUAAYACAAAACEAWvQsW78AAAAVAQAACwAA&#10;AAAAAAAAAAAAAAAfAQAAX3JlbHMvLnJlbHNQSwECLQAUAAYACAAAACEA5Pd7h8MAAADbAAAADwAA&#10;AAAAAAAAAAAAAAAHAgAAZHJzL2Rvd25yZXYueG1sUEsFBgAAAAADAAMAtwAAAPcCAAAAAA==&#10;" fillcolor="#fe8637" strokecolor="#fe8637" strokeweight="3pt">
                  <v:stroke linestyle="thinThin"/>
                </v:oval>
                <v:rect id="Rectangle 47"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B2xAAAANsAAAAPAAAAZHJzL2Rvd25yZXYueG1sRI9Ba8JA&#10;FITvBf/D8gQvohulVE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JNWQHb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59264" behindDoc="0" locked="0" layoutInCell="1" allowOverlap="1" wp14:anchorId="2B164BE0" wp14:editId="5708EF0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48"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49" name="Ellipse 49"/>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50" name="Rectangle 50"/>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1C9836" id="Groupe 26" o:spid="_x0000_s1026" style="position:absolute;margin-left:0;margin-top:10in;width:43.2pt;height:43.2pt;z-index:25165926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yztwIAAFoHAAAOAAAAZHJzL2Uyb0RvYy54bWzMldtO3DAQhu8r9R2s3JdkD6TZiCxCsNAL&#10;CqhQ9drrOAfVsS3bbJa373icALvQqqJV1ZvIx/HM9/92jo63nSAbbmyrZBFNDpKIcMlU2cq6iL7e&#10;nX/IImIdlSUVSvIieuA2Ol6+f3fU65xPVaNEyQ2BINLmvS6ixjmdx7FlDe+oPVCaS5islOmog66p&#10;49LQHqJ3Ip4mSRr3ypTaKMathdGzMBktMX5Vceauq8pyR0QRQW4Ovwa/a/+Nl0c0rw3VTcuGNOgb&#10;suhoK+HQx1Bn1FFyb9oXobqWGWVV5Q6Y6mJVVS3jWANUM0n2qrkw6l5jLXXe1/oRE6Dd4/TmsOxq&#10;c2NIWxbRHJSStAON8FhOpqmn0+s6h0UXRt/qGxNKhOalYt8tTMf7875fh8Vk3X9WJQSk904hnW1l&#10;Oh8C6iZbFOHhUQS+dYTB4OE8S+cgFYOpoY0isQaU9LsmSXo4iwhMT+bp4mOQkDWrYT/sDpt9w2dI&#10;83Aspjqk5usCw9knpvbPmN42VHOUynpcI9PFyHQlRKstJ/NFgIqrRqI24CRSnTZU1vzEGNU3nJaQ&#10;1ARr8NlC2LDBdyyI8TpfUsFJn/zGZ6QnSZYCU2SWLbLAbCQ+BYiIe5bMdojRXBvrLrjqiG8UEQ9V&#10;YGS6ubQu8B1X+QOtEm153gqBHVOvT4UhGwrX73yVpTOUCyTZWSYk6Ytolk0Sr3unwY3lWuApO+vs&#10;74WDWyNL9IxnuBrajrYitOF4IdG6gWMww1qVD8DUKHwjfPa+rLvtN2r0UL4DYldqlJrmewjCWr9T&#10;qhOwfNUiHy9XCD6cCbb7R/47BJ7hTn+BlxCsJTiBMWCzYyiQ42860BMYbvird3X03U9v6gvfGcj+&#10;V6aTyjsOJffKegGGgf9Ca3x54AHHx2j42fg/xPM+euPpl7j8AQAA//8DAFBLAwQUAAYACAAAACEA&#10;kPxJ0twAAAAJAQAADwAAAGRycy9kb3ducmV2LnhtbExPQU7DMBC8I/EHa5G4IOpQQlSlcSpAjTgT&#10;IqHenHhxIuJ1FLtt+D3Lid5mZ0azM8VucaM44RwGTwoeVgkIpM6bgayC5qO634AIUZPRoydU8IMB&#10;duX1VaFz48/0jqc6WsEhFHKtoI9xyqUMXY9Oh5WfkFj78rPTkc/ZSjPrM4e7Ua6TJJNOD8Qfej3h&#10;a4/dd310ClrXZbX9rPZ459sXe3hsmuptr9TtzfK8BRFxif9m+KvP1aHkTq0/kgliVMBDIrNpmjBi&#10;fZOlIFpmntaMZFnIywXlLwAAAP//AwBQSwECLQAUAAYACAAAACEAtoM4kv4AAADhAQAAEwAAAAAA&#10;AAAAAAAAAAAAAAAAW0NvbnRlbnRfVHlwZXNdLnhtbFBLAQItABQABgAIAAAAIQA4/SH/1gAAAJQB&#10;AAALAAAAAAAAAAAAAAAAAC8BAABfcmVscy8ucmVsc1BLAQItABQABgAIAAAAIQDvTKyztwIAAFoH&#10;AAAOAAAAAAAAAAAAAAAAAC4CAABkcnMvZTJvRG9jLnhtbFBLAQItABQABgAIAAAAIQCQ/EnS3AAA&#10;AAkBAAAPAAAAAAAAAAAAAAAAABEFAABkcnMvZG93bnJldi54bWxQSwUGAAAAAAQABADzAAAAGgYA&#10;AAAA&#10;">
                <v:oval id="Ellipse 49"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1wwAAANsAAAAPAAAAZHJzL2Rvd25yZXYueG1sRI/NasMw&#10;EITvhbyD2EBujZwSSuNECcFQXEgN+Wnvi7WxTKyVkdTYffuqUOhxmJlvmM1utJ24kw+tYwWLeQaC&#10;uHa65UbBx+X18QVEiMgaO8ek4JsC7LaThw3m2g18ovs5NiJBOOSowMTY51KG2pDFMHc9cfKuzluM&#10;SfpGao9DgttOPmXZs7TYclow2FNhqL6dv6yCY9maZjmWUhdHt3/31Wd1cJ1Ss+m4X4OINMb/8F/7&#10;TStYruD3S/oBcvsDAAD//wMAUEsBAi0AFAAGAAgAAAAhANvh9svuAAAAhQEAABMAAAAAAAAAAAAA&#10;AAAAAAAAAFtDb250ZW50X1R5cGVzXS54bWxQSwECLQAUAAYACAAAACEAWvQsW78AAAAVAQAACwAA&#10;AAAAAAAAAAAAAAAfAQAAX3JlbHMvLnJlbHNQSwECLQAUAAYACAAAACEAlWjv9cMAAADbAAAADwAA&#10;AAAAAAAAAAAAAAAHAgAAZHJzL2Rvd25yZXYueG1sUEsFBgAAAAADAAMAtwAAAPcCAAAAAA==&#10;" fillcolor="#fe8637" strokecolor="#fe8637" strokeweight="3pt">
                  <v:stroke linestyle="thinThin"/>
                </v:oval>
                <v:rect id="Rectangle 50"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7fwgAAANsAAAAPAAAAZHJzL2Rvd25yZXYueG1sRE9Na4NA&#10;EL0H+h+WKeQS4ppCSz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CZZk7fwgAAANsAAAAPAAAA&#10;AAAAAAAAAAAAAAcCAABkcnMvZG93bnJldi54bWxQSwUGAAAAAAMAAwC3AAAA9g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0288" behindDoc="0" locked="0" layoutInCell="1" allowOverlap="1" wp14:anchorId="116993D0" wp14:editId="2BFBD503">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51"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2" name="Ellipse 52"/>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53" name="Rectangle 53"/>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DCF75E" id="Groupe 23" o:spid="_x0000_s1026" style="position:absolute;margin-left:0;margin-top:10in;width:43.2pt;height:43.2pt;z-index:25166028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pkktwIAAFoHAAAOAAAAZHJzL2Uyb0RvYy54bWzMVV1P2zAUfZ+0/2D5fSRpaRciUoSgsIeN&#10;ocG0Z9dxPjTHtmzTlH+/6+u0QGHTxKZpL5Ed389zzrWPTza9JGthXadVSbODlBKhuK461ZT06+3F&#10;u5wS55mqmNRKlPReOHqyePvmeDCFmOhWy0pYAkGUKwZT0tZ7UySJ463omTvQRig4rLXtmYetbZLK&#10;sgGi9zKZpOk8GbStjNVcOAd/z+MhXWD8uhbcf65rJzyRJYXaPH4tflfhmyyOWdFYZtqOj2WwV1TR&#10;s05B0l2oc+YZubPds1B9x612uvYHXPeJruuOC+wBusnSvW4urb4z2EtTDI3ZwQTQ7uH06rD8an1t&#10;SVeVdJZRolgPHGFaQSbTgM5gmgKMLq25Mdc2tgjLj5p/d3Cc7J+HfRONyWr4pCsIyO68RnQ2te1D&#10;COibbJCE+x0JYuMJh5+zw3x+CFRxOBrXSBJvgcnglaXz2ZQSOM4O50fvI4W8XY7+4B2dwyJUyIqY&#10;FksdSwt9geDcA6buzzC9aZkRSJULcG0xnWwxXUrZGSfIbBJBRastoi7CSZQ+a5lqxKm1emgFq6Co&#10;DHsI1ULY6BA2Dsh4GV9SQ6YPwfER0lmazwFTxCw/yiNmW8QnACLCPU2R8h1irDDW+UuhexIWJRWx&#10;C4zM1h+dj/hurUJCp2VXXXRS4sY2qzNpyZrB+F0s8/kU6YIET8ykIkNJp3mWBt57A2qsVhKzPLFz&#10;vxcOpkZVqJmA4XJce9bJuIb0UqF0I45RDCtd3QOmVuMdEaoPbd1uvjFrxvY9IHalt1SzYg+CaBs8&#10;lT4Fydcd4hPoisHHnCC7f6U/mJM401/gJgRpSVDgONaPBAV0/E0FBgTGCX9xVre6++mkPtOdhep/&#10;JTqlg+KQ8sBsIGD88V9wjTcPXOB4GY2PTXghHu9RGw9P4uIHAAAA//8DAFBLAwQUAAYACAAAACEA&#10;kPxJ0twAAAAJAQAADwAAAGRycy9kb3ducmV2LnhtbExPQU7DMBC8I/EHa5G4IOpQQlSlcSpAjTgT&#10;IqHenHhxIuJ1FLtt+D3Lid5mZ0azM8VucaM44RwGTwoeVgkIpM6bgayC5qO634AIUZPRoydU8IMB&#10;duX1VaFz48/0jqc6WsEhFHKtoI9xyqUMXY9Oh5WfkFj78rPTkc/ZSjPrM4e7Ua6TJJNOD8Qfej3h&#10;a4/dd310ClrXZbX9rPZ459sXe3hsmuptr9TtzfK8BRFxif9m+KvP1aHkTq0/kgliVMBDIrNpmjBi&#10;fZOlIFpmntaMZFnIywXlLwAAAP//AwBQSwECLQAUAAYACAAAACEAtoM4kv4AAADhAQAAEwAAAAAA&#10;AAAAAAAAAAAAAAAAW0NvbnRlbnRfVHlwZXNdLnhtbFBLAQItABQABgAIAAAAIQA4/SH/1gAAAJQB&#10;AAALAAAAAAAAAAAAAAAAAC8BAABfcmVscy8ucmVsc1BLAQItABQABgAIAAAAIQBnDpkktwIAAFoH&#10;AAAOAAAAAAAAAAAAAAAAAC4CAABkcnMvZTJvRG9jLnhtbFBLAQItABQABgAIAAAAIQCQ/EnS3AAA&#10;AAkBAAAPAAAAAAAAAAAAAAAAABEFAABkcnMvZG93bnJldi54bWxQSwUGAAAAAAQABADzAAAAGgYA&#10;AAAA&#10;">
                <v:oval id="Ellipse 52"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tZwQAAANsAAAAPAAAAZHJzL2Rvd25yZXYueG1sRI/NigIx&#10;EITvC75DaGFva0ZxRUajiCAKu4K/92bSTgYnnSGJOvv2G0HwWFTVV9R03tpa3MmHyrGCfi8DQVw4&#10;XXGp4HRcfY1BhIissXZMCv4owHzW+Zhirt2D93Q/xFIkCIccFZgYm1zKUBiyGHquIU7exXmLMUlf&#10;Su3xkeC2loMsG0mLFacFgw0tDRXXw80q2K0rUw7btdTLnVv8+u15++NqpT677WICIlIb3+FXe6MV&#10;fA/g+SX9ADn7BwAA//8DAFBLAQItABQABgAIAAAAIQDb4fbL7gAAAIUBAAATAAAAAAAAAAAAAAAA&#10;AAAAAABbQ29udGVudF9UeXBlc10ueG1sUEsBAi0AFAAGAAgAAAAhAFr0LFu/AAAAFQEAAAsAAAAA&#10;AAAAAAAAAAAAHwEAAF9yZWxzLy5yZWxzUEsBAi0AFAAGAAgAAAAhAB4V61nBAAAA2wAAAA8AAAAA&#10;AAAAAAAAAAAABwIAAGRycy9kb3ducmV2LnhtbFBLBQYAAAAAAwADALcAAAD1AgAAAAA=&#10;" fillcolor="#fe8637" strokecolor="#fe8637" strokeweight="3pt">
                  <v:stroke linestyle="thinThin"/>
                </v:oval>
                <v:rect id="Rectangle 53"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NCoxAAAANsAAAAPAAAAZHJzL2Rvd25yZXYueG1sRI9Ba8JA&#10;FITvBf/D8gQvohstFUldRQQxSEGM1vMj+5qEZt/G7Jqk/75bEHocZuYbZrXpTSVaalxpWcFsGoEg&#10;zqwuOVdwvewnSxDOI2usLJOCH3KwWQ9eVhhr2/GZ2tTnIkDYxaig8L6OpXRZQQbd1NbEwfuyjUEf&#10;ZJNL3WAX4KaS8yhaSIMlh4UCa9oVlH2nD6Ogy07t7fJxkKfxLbF8T+679POo1GjYb99BeOr9f/jZ&#10;TrSCt1f4+xJ+gFz/AgAA//8DAFBLAQItABQABgAIAAAAIQDb4fbL7gAAAIUBAAATAAAAAAAAAAAA&#10;AAAAAAAAAABbQ29udGVudF9UeXBlc10ueG1sUEsBAi0AFAAGAAgAAAAhAFr0LFu/AAAAFQEAAAsA&#10;AAAAAAAAAAAAAAAAHwEAAF9yZWxzLy5yZWxzUEsBAi0AFAAGAAgAAAAhAGm00Kj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1312" behindDoc="0" locked="0" layoutInCell="1" allowOverlap="1" wp14:anchorId="1A585853" wp14:editId="0AA7EA70">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54" name="Group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5" name="Ellipse 55"/>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56" name="Rectangle 56"/>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7AFF1A" id="Groupe 20" o:spid="_x0000_s1026" style="position:absolute;margin-left:0;margin-top:10in;width:43.2pt;height:43.2pt;z-index:25166131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CrgIAAFoHAAAOAAAAZHJzL2Uyb0RvYy54bWzMlVtP2zAYhu8n7T9Yvl+T9JCFiBQhaNkF&#10;AzSYdu06zkFzbMs2Tfn3+2wnQAubJqZNu4mc2P4Oz/vaOT7ZdRxtmTatFAVOJjFGTFBZtqIu8Ne7&#10;9YcMI2OJKAmXghX4gRl8snz/7rhXOZvKRvKSaQRBhMl7VeDGWpVHkaEN64iZSMUETFZSd8TCq66j&#10;UpMeonc8msZxGvVSl0pLyoyBr+dhEi99/Kpi1F5XlWEW8QJDbdY/tX9u3DNaHpO81kQ1LR3KIG+o&#10;oiOtgKSPoc6JJehety9CdS3V0sjKTqjsIllVLWW+B+gmiQ+6udDyXvle6ryv1SMmQHvA6c1h6dX2&#10;RqO2LPBijpEgHWjk0zI09XR6Veew6EKrW3WjQ4swvJT0uwF40eG8e6/DYrTpP8sSApJ7Kz2dXaU7&#10;FwL6RjsvwsOjCGxnEYWPi3mWzkEqClPD2ItEG1DS7UridDHDCKaTeXr0MUhIm9WwH3aHzW7gKiR5&#10;SOtLHUpz/gDDmSem5s+Y3jZEMS+VcbhGpouR6YrzVhmGFgtXk0sOq0aiJuBEQp41RNTsVGvZN4yU&#10;UFTie9jb4F4MiPE6X1RBpk9u4zPSSZylwNQzy46ywGwkPgWIHvcsnu0RI7nSxl4w2SE3KDALXfjI&#10;ZHtpbOA7rnIJjeRtuW459y+63pxxjbYEjt96laUzLxdIsreMC9QXeJYlsdO9U+DGcsN9lr115vfC&#10;wakRpfeMY7gaxpa0PIwhPRfeuoFj0GMjywdgqqW/I1z1rq273Tei1dC+BWJXcpSa5AcIwlq3U8hT&#10;sHzVej5OrhB8yAm2+1f+S0f/fYGbEKzFwYHp33agIzCc8FfP6ui7n57UF77TUP2vTCekc5yX3Cnr&#10;BBg+/Bda+5sHLnB/GQ0/G/eHeP7uvfH0S1z+AAAA//8DAFBLAwQUAAYACAAAACEAkPxJ0twAAAAJ&#10;AQAADwAAAGRycy9kb3ducmV2LnhtbExPQU7DMBC8I/EHa5G4IOpQQlSlcSpAjTgTIqHenHhxIuJ1&#10;FLtt+D3Lid5mZ0azM8VucaM44RwGTwoeVgkIpM6bgayC5qO634AIUZPRoydU8IMBduX1VaFz48/0&#10;jqc6WsEhFHKtoI9xyqUMXY9Oh5WfkFj78rPTkc/ZSjPrM4e7Ua6TJJNOD8Qfej3ha4/dd310ClrX&#10;ZbX9rPZ459sXe3hsmuptr9TtzfK8BRFxif9m+KvP1aHkTq0/kgliVMBDIrNpmjBifZOlIFpmntaM&#10;ZFnIywXlLwAAAP//AwBQSwECLQAUAAYACAAAACEAtoM4kv4AAADhAQAAEwAAAAAAAAAAAAAAAAAA&#10;AAAAW0NvbnRlbnRfVHlwZXNdLnhtbFBLAQItABQABgAIAAAAIQA4/SH/1gAAAJQBAAALAAAAAAAA&#10;AAAAAAAAAC8BAABfcmVscy8ucmVsc1BLAQItABQABgAIAAAAIQA/nwkCrgIAAFoHAAAOAAAAAAAA&#10;AAAAAAAAAC4CAABkcnMvZTJvRG9jLnhtbFBLAQItABQABgAIAAAAIQCQ/EnS3AAAAAkBAAAPAAAA&#10;AAAAAAAAAAAAAAgFAABkcnMvZG93bnJldi54bWxQSwUGAAAAAAQABADzAAAAEQYAAAAA&#10;">
                <v:oval id="Ellipse 55"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twQAAANsAAAAPAAAAZHJzL2Rvd25yZXYueG1sRI9BawIx&#10;FITvQv9DeAVvmrWolNUoIhSFKqjV+2Pz3CxuXpYk6vbfG0HwOMzMN8x03tpa3MiHyrGCQT8DQVw4&#10;XXGp4Pj30/sGESKyxtoxKfinAPPZR2eKuXZ33tPtEEuRIBxyVGBibHIpQ2HIYui7hjh5Z+ctxiR9&#10;KbXHe4LbWn5l2VharDgtGGxoaai4HK5WwW5VmXLYrqRe7txi47en7a+rlep+tosJiEhtfIdf7bVW&#10;MBrB80v6AXL2AAAA//8DAFBLAQItABQABgAIAAAAIQDb4fbL7gAAAIUBAAATAAAAAAAAAAAAAAAA&#10;AAAAAABbQ29udGVudF9UeXBlc10ueG1sUEsBAi0AFAAGAAgAAAAhAFr0LFu/AAAAFQEAAAsAAAAA&#10;AAAAAAAAAAAAHwEAAF9yZWxzLy5yZWxzUEsBAi0AFAAGAAgAAAAhAJH8cy3BAAAA2wAAAA8AAAAA&#10;AAAAAAAAAAAABwIAAGRycy9kb3ducmV2LnhtbFBLBQYAAAAAAwADALcAAAD1AgAAAAA=&#10;" fillcolor="#fe8637" strokecolor="#fe8637" strokeweight="3pt">
                  <v:stroke linestyle="thinThin"/>
                </v:oval>
                <v:rect id="Rectangle 56"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3MwxQAAANsAAAAPAAAAZHJzL2Rvd25yZXYueG1sRI9Ba8JA&#10;FITvBf/D8oReSt1YUCTNRkSQhiJIE+v5kX1Ngtm3MbtN0n/fLRQ8DjPzDZNsJ9OKgXrXWFawXEQg&#10;iEurG64UnIvD8waE88gaW8uk4IccbNPZQ4KxtiN/0JD7SgQIuxgV1N53sZSurMmgW9iOOHhftjfo&#10;g+wrqXscA9y08iWK1tJgw2Ghxo72NZXX/NsoGMvTcCmOb/L0dMks37LbPv98V+pxPu1eQXia/D38&#10;3860gtUa/r6EHyDTXwAAAP//AwBQSwECLQAUAAYACAAAACEA2+H2y+4AAACFAQAAEwAAAAAAAAAA&#10;AAAAAAAAAAAAW0NvbnRlbnRfVHlwZXNdLnhtbFBLAQItABQABgAIAAAAIQBa9CxbvwAAABUBAAAL&#10;AAAAAAAAAAAAAAAAAB8BAABfcmVscy8ucmVsc1BLAQItABQABgAIAAAAIQB5w3MwxQAAANsAAAAP&#10;AAAAAAAAAAAAAAAAAAcCAABkcnMvZG93bnJldi54bWxQSwUGAAAAAAMAAwC3AAAA+Q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2336" behindDoc="0" locked="0" layoutInCell="1" allowOverlap="1" wp14:anchorId="4A411FC0" wp14:editId="72F44C0D">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5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58" name="Ellipse 58"/>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59" name="Rectangle 59"/>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5ED9D0" id="Groupe 17" o:spid="_x0000_s1026" style="position:absolute;margin-left:0;margin-top:10in;width:43.2pt;height:43.2pt;z-index:25166233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DyswIAAFoHAAAOAAAAZHJzL2Uyb0RvYy54bWzMlV1v2yAUhu8n7T8g7lfbTZM6Vp2qatPu&#10;ouuqtdOuCcYfGgYENE7//Q4Hpx9pN02dNu3GAgOHc573BY6ON70ka2Fdp1VJs72UEqG4rjrVlPTr&#10;7fmHnBLnmaqY1EqU9F44erx4/+5oMIXY162WlbAEgihXDKakrfemSBLHW9Ezt6eNUDBYa9szD13b&#10;JJVlA0TvZbKfprNk0LYyVnPhHPw9i4N0gfHrWnD/ua6d8ESWFHLz+LX4XYVvsjhiRWOZaTs+psHe&#10;kEXPOgWbPoQ6Y56RO9u9CNV33Gqna7/HdZ/ouu64wBqgmizdqebC6juDtTTF0JgHTIB2h9Obw/Kr&#10;9bUlXVXS6SElivWgEW4rSHYY6AymKWDShTU35trGEqF5qfl3B8PJ7njoN3EyWQ2fdAUB2Z3XSGdT&#10;2z6EgLrJBkW4fxBBbDzh8HN6kM8OQCoOQ2MbReItKBlWZelsOqEEhrOD2RyTZAVvl+N6WB0Xh0bI&#10;kBVxW0x1TC3UBYZzj0zdnzG9aZkRKJULuLZMwf2R6VLKzjhBpnmEirO2RF3ESZQ+bZlqxIm1emgF&#10;qyCpDGsI2ULYuCB0HIjxOl9Sw04fw8InpLM0nwFTZJbPMQdWbInvA0TEPUknz4ixwljnL4TuSWiU&#10;VMQqMDJbXzof+W5nhQ2dll113kmJHdusTqUlawbH73yZzyYoF0jybJpUZCjpJM/SoHtvwI3VSuIu&#10;z+a53wsHp0ZV6JnAcDm2PetkbMP2UqF1I8dohpWu7oGp1XhHhOxDWbebb8yasXwPxK70VmpW7CCI&#10;c8NKpU/A8nWHfIJcMfi4J9juX/lvvvXfF7gJwVoSHDj/2w4MBMYT/upZ3frupyf1he8sZP8r0ykd&#10;HIeSB2WDAOOP/0JrvHngAsfLaHxswgvxtI/eeHwSFz8AAAD//wMAUEsDBBQABgAIAAAAIQCQ/EnS&#10;3AAAAAkBAAAPAAAAZHJzL2Rvd25yZXYueG1sTE9BTsMwELwj8Qdrkbgg6lBCVKVxKkCNOBMiod6c&#10;eHEi4nUUu234PcuJ3mZnRrMzxW5xozjhHAZPCh5WCQikzpuBrILmo7rfgAhRk9GjJ1TwgwF25fVV&#10;oXPjz/SOpzpawSEUcq2gj3HKpQxdj06HlZ+QWPvys9ORz9lKM+szh7tRrpMkk04PxB96PeFrj913&#10;fXQKWtdltf2s9njn2xd7eGya6m2v1O3N8rwFEXGJ/2b4q8/VoeROrT+SCWJUwEMis2maMGJ9k6Ug&#10;Wmae1oxkWcjLBeUvAAAA//8DAFBLAQItABQABgAIAAAAIQC2gziS/gAAAOEBAAATAAAAAAAAAAAA&#10;AAAAAAAAAABbQ29udGVudF9UeXBlc10ueG1sUEsBAi0AFAAGAAgAAAAhADj9If/WAAAAlAEAAAsA&#10;AAAAAAAAAAAAAAAALwEAAF9yZWxzLy5yZWxzUEsBAi0AFAAGAAgAAAAhANMfIPKzAgAAWgcAAA4A&#10;AAAAAAAAAAAAAAAALgIAAGRycy9lMm9Eb2MueG1sUEsBAi0AFAAGAAgAAAAhAJD8SdLcAAAACQEA&#10;AA8AAAAAAAAAAAAAAAAADQUAAGRycy9kb3ducmV2LnhtbFBLBQYAAAAABAAEAPMAAAAWBgAAAAA=&#10;">
                <v:oval id="Ellipse 58"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vgAAANsAAAAPAAAAZHJzL2Rvd25yZXYueG1sRE/LisIw&#10;FN0P+A/hCu7GVNFBqlFEEAVH8Lm/NNem2NyUJGr9+8lCmOXhvGeL1tbiST5UjhUM+hkI4sLpiksF&#10;l/P6ewIiRGSNtWNS8KYAi3nna4a5di8+0vMUS5FCOOSowMTY5FKGwpDF0HcNceJuzluMCfpSao+v&#10;FG5rOcyyH2mx4tRgsKGVoeJ+elgFh01lylG7kXp1cMtfv7/ud65Wqtdtl1MQkdr4L/64t1rBOI1N&#10;X9IPkPM/AAAA//8DAFBLAQItABQABgAIAAAAIQDb4fbL7gAAAIUBAAATAAAAAAAAAAAAAAAAAAAA&#10;AABbQ29udGVudF9UeXBlc10ueG1sUEsBAi0AFAAGAAgAAAAhAFr0LFu/AAAAFQEAAAsAAAAAAAAA&#10;AAAAAAAAHwEAAF9yZWxzLy5yZWxzUEsBAi0AFAAGAAgAAAAhAH/93LO+AAAA2wAAAA8AAAAAAAAA&#10;AAAAAAAABwIAAGRycy9kb3ducmV2LnhtbFBLBQYAAAAAAwADALcAAADyAgAAAAA=&#10;" fillcolor="#fe8637" strokecolor="#fe8637" strokeweight="3pt">
                  <v:stroke linestyle="thinThin"/>
                </v:oval>
                <v:rect id="Rectangle 59"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OdCxAAAANsAAAAPAAAAZHJzL2Rvd25yZXYueG1sRI9Ba8JA&#10;FITvBf/D8gQvohuFFk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Ahc50L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3360" behindDoc="0" locked="0" layoutInCell="1" allowOverlap="1" wp14:anchorId="3F6BDA0C" wp14:editId="37CEB1CD">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60" name="Grou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1" name="Ellipse 61"/>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62" name="Rectangle 62"/>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EE5F5F" id="Groupe 14" o:spid="_x0000_s1026" style="position:absolute;margin-left:0;margin-top:10in;width:43.2pt;height:43.2pt;z-index:251663360;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iprQIAAFoHAAAOAAAAZHJzL2Uyb0RvYy54bWzMlU1v3CAQhu+V+h+Q743t3Y3rWPFGUbJJ&#10;D2kSNal6ZjH+UDEgIOvNv+8w2PnYpFWVqlUvFhgYZp73BQ6Ptr0gG25sp2QZpXtJRLhkqupkU0Zf&#10;b88+5BGxjsqKCiV5Gd1zGx0t3787HHTBZ6pVouKGQBBpi0GXUeucLuLYspb31O4pzSUM1sr01EHX&#10;NHFl6ADRexHPkiSLB2UqbRTj1sLf0zAYLTF+XXPmrurackdEGUFuDr8Gv2v/jZeHtGgM1W3HxjTo&#10;G7LoaSdh04dQp9RRcme6F6H6jhllVe32mOpjVdcd41gDVJMmO9WcG3WnsZamGBr9gAnQ7nB6c1h2&#10;ubk2pKvKKAM8kvagEW7LSbrwdAbdFDDp3OgbfW1CidC8UOy7heF4d9z3mzCZrIfPqoKA9M4ppLOt&#10;Te9DQN1kiyLcP4jAt44w+Lm/yLMF5MJgaGyjSKwFJf2qNMn25xGB4XSRHXwMErJ2Na6H1WGxb/gM&#10;aRG2xVTH1HxdYDj7yNT+GdOblmqOUlmPa2KaTkxXQnTacpKlASrOmojagJNIddJS2fBjY9TQclpB&#10;UjgfUn+ywHcsiPE6X1LDTp/8wiek0yT3+iKz/CAPzCbiM4CIuOfJ/BkxWmhj3TlXPfGNMuKhCoxM&#10;NxfWBb7TLL+hVaKrzjohsGOa9YkwZEPh+J2t8myOcoEkz6YJSYYymudp4nXvNbixWgvc5dk8+3vh&#10;4NTICj3jGa7GtqOdCG3YXki0buAYzLBW1T0wNQrvCJ+9L+t2+40aPZbvgNilmqSmxQ6CMNevlOoY&#10;LF93yMfLFYKPe4Lt/pX/ZpP/vsBNCNYS4MDZ33agJzCe8FfP6uS7n57UF74zkP2vTCeVdxxK7pX1&#10;Aow//gut8eaBCxwvo/Gx8S/E0z564/FJXP4AAAD//wMAUEsDBBQABgAIAAAAIQCQ/EnS3AAAAAkB&#10;AAAPAAAAZHJzL2Rvd25yZXYueG1sTE9BTsMwELwj8Qdrkbgg6lBCVKVxKkCNOBMiod6ceHEi4nUU&#10;u234PcuJ3mZnRrMzxW5xozjhHAZPCh5WCQikzpuBrILmo7rfgAhRk9GjJ1TwgwF25fVVoXPjz/SO&#10;pzpawSEUcq2gj3HKpQxdj06HlZ+QWPvys9ORz9lKM+szh7tRrpMkk04PxB96PeFrj913fXQKWtdl&#10;tf2s9njn2xd7eGya6m2v1O3N8rwFEXGJ/2b4q8/VoeROrT+SCWJUwEMis2maMGJ9k6UgWmae1oxk&#10;WcjLBeUvAAAA//8DAFBLAQItABQABgAIAAAAIQC2gziS/gAAAOEBAAATAAAAAAAAAAAAAAAAAAAA&#10;AABbQ29udGVudF9UeXBlc10ueG1sUEsBAi0AFAAGAAgAAAAhADj9If/WAAAAlAEAAAsAAAAAAAAA&#10;AAAAAAAALwEAAF9yZWxzLy5yZWxzUEsBAi0AFAAGAAgAAAAhAOyjiKmtAgAAWgcAAA4AAAAAAAAA&#10;AAAAAAAALgIAAGRycy9lMm9Eb2MueG1sUEsBAi0AFAAGAAgAAAAhAJD8SdLcAAAACQEAAA8AAAAA&#10;AAAAAAAAAAAABwUAAGRycy9kb3ducmV2LnhtbFBLBQYAAAAABAAEAPMAAAAQBgAAAAA=&#10;">
                <v:oval id="Ellipse 61"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TwwAAANsAAAAPAAAAZHJzL2Rvd25yZXYueG1sRI9Ra8Iw&#10;FIXfB/sP4Qp7W1NlFOkaRYThYCto3d4vzV1TbG5KErX790YY7PFwzvkOp1pPdhAX8qF3rGCe5SCI&#10;W6d77hR8Hd+elyBCRNY4OCYFvxRgvXp8qLDU7soHujSxEwnCoUQFJsaxlDK0hiyGzI3Eyftx3mJM&#10;0ndSe7wmuB3kIs8LabHntGBwpK2h9tScrYL9rjfdy7STert3m09ff9cfblDqaTZtXkFEmuJ/+K/9&#10;rhUUc7h/ST9Arm4AAAD//wMAUEsBAi0AFAAGAAgAAAAhANvh9svuAAAAhQEAABMAAAAAAAAAAAAA&#10;AAAAAAAAAFtDb250ZW50X1R5cGVzXS54bWxQSwECLQAUAAYACAAAACEAWvQsW78AAAAVAQAACwAA&#10;AAAAAAAAAAAAAAAfAQAAX3JlbHMvLnJlbHNQSwECLQAUAAYACAAAACEAIKu/k8MAAADbAAAADwAA&#10;AAAAAAAAAAAAAAAHAgAAZHJzL2Rvd25yZXYueG1sUEsFBgAAAAADAAMAtwAAAPcCAAAAAA==&#10;" fillcolor="#fe8637" strokecolor="#fe8637" strokeweight="3pt">
                  <v:stroke linestyle="thinThin"/>
                </v:oval>
                <v:rect id="Rectangle 62"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OxAAAANsAAAAPAAAAZHJzL2Rvd25yZXYueG1sRI9Ba4NA&#10;FITvhfyH5QVyKc3aHEIx2YQihEgohGri+eG+qtR9q+5W7b/vFgo9DjPzDbM/zqYVIw2usazgeR2B&#10;IC6tbrhScMtPTy8gnEfW2FomBd/k4HhYPOwx1nbidxozX4kAYRejgtr7LpbSlTUZdGvbEQfvww4G&#10;fZBDJfWAU4CbVm6iaCsNNhwWauwoqan8zL6Mgqm8jkX+dpbXxyK13Kd9kt0vSq2W8+sOhKfZ/4f/&#10;2qlWsN3A75fwA+ThBwAA//8DAFBLAQItABQABgAIAAAAIQDb4fbL7gAAAIUBAAATAAAAAAAAAAAA&#10;AAAAAAAAAABbQ29udGVudF9UeXBlc10ueG1sUEsBAi0AFAAGAAgAAAAhAFr0LFu/AAAAFQEAAAsA&#10;AAAAAAAAAAAAAAAAHwEAAF9yZWxzLy5yZWxzUEsBAi0AFAAGAAgAAAAhAMiUv47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4384" behindDoc="0" locked="0" layoutInCell="1" allowOverlap="1" wp14:anchorId="2798DB46" wp14:editId="3D305A56">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63"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4" name="Ellipse 64"/>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65" name="Rectangle 65"/>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F80760" id="Groupe 11" o:spid="_x0000_s1026" style="position:absolute;margin-left:0;margin-top:10in;width:43.2pt;height:43.2pt;z-index:251664384;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cJtAIAAFoHAAAOAAAAZHJzL2Uyb0RvYy54bWzMlU9P2zAYxu+T9h0s30cSSrMQkSIEhR0Y&#10;oMG0s+s4iTXHtmzTlG+/13YCtLBpYtO0S+TE9vvn9zx2jo43vUBrZixXssLZXooRk1TVXLYV/np3&#10;/qHAyDoiayKUZBV+YBYfL96/Oxp0yfZVp0TNDIIg0paDrnDnnC6TxNKO9cTuKc0kTDbK9MTBq2mT&#10;2pABovci2U/TPBmUqbVRlFkLX8/iJF6E+E3DqLtuGsscEhWG2lx4mvBc+WeyOCJla4juOB3LIG+o&#10;oidcQtLHUGfEEXRv+ItQPadGWdW4Par6RDUNpyz0AN1k6U43F0bd69BLWw6tfsQEaHc4vTksvVrf&#10;GMTrCuczjCTpQaOQlqEs83QG3Zaw6MLoW31jYoswvFT0u4XpZHfev7dxMVoNn1UNAcm9U4HOpjG9&#10;DwF9o00Q4eFRBLZxiMLH+UGRH4BUFKbGcRCJdqCk35Wl+RxqhensID/8GCWk3XLcD7vjZj/wFZIy&#10;pg2ljqX5vsBw9omp/TOmtx3RLEhlPa6JKZQSmS6F4NoyFGvyyWHVRNRGnEiq047Ilp0Yo4aOkRqK&#10;CiJA6c82+BcLYrzOFzWQ6ZPf+Ix0lhY5MA3MisMiMpuI7wPEgHuWzraIkVIb6y6Y6pEfVJjFLkJk&#10;sr60LvKdVvmEVglen3MhwotpV6fCoDWB43e+LPJZkAsk2VomJBoqPCuy1Ovea3BjvRIhy9Y6+3vh&#10;4NTIOnjGM1yOY0e4iGNIL2SwbuQYzbBS9QMwNSrcEb5639bd5hsxemzfAbErNUlNyh0Eca3fKdUJ&#10;WL7hgY+XKwYfc4Lt/pX/5pP/vsBNCNYS4MC513jLUCDH33SgJzCe8FfP6uS7n57UF74zUP2vTCeV&#10;d1yQ3CvrBRg//Bdah5sHLvBwGY0/G/+HeP4evPH0S1z8AAAA//8DAFBLAwQUAAYACAAAACEAkPxJ&#10;0twAAAAJAQAADwAAAGRycy9kb3ducmV2LnhtbExPQU7DMBC8I/EHa5G4IOpQQlSlcSpAjTgTIqHe&#10;nHhxIuJ1FLtt+D3Lid5mZ0azM8VucaM44RwGTwoeVgkIpM6bgayC5qO634AIUZPRoydU8IMBduX1&#10;VaFz48/0jqc6WsEhFHKtoI9xyqUMXY9Oh5WfkFj78rPTkc/ZSjPrM4e7Ua6TJJNOD8Qfej3ha4/d&#10;d310ClrXZbX9rPZ459sXe3hsmuptr9TtzfK8BRFxif9m+KvP1aHkTq0/kgliVMBDIrNpmjBifZOl&#10;IFpmntaMZFnIywXlLwAAAP//AwBQSwECLQAUAAYACAAAACEAtoM4kv4AAADhAQAAEwAAAAAAAAAA&#10;AAAAAAAAAAAAW0NvbnRlbnRfVHlwZXNdLnhtbFBLAQItABQABgAIAAAAIQA4/SH/1gAAAJQBAAAL&#10;AAAAAAAAAAAAAAAAAC8BAABfcmVscy8ucmVsc1BLAQItABQABgAIAAAAIQAJLzcJtAIAAFoHAAAO&#10;AAAAAAAAAAAAAAAAAC4CAABkcnMvZTJvRG9jLnhtbFBLAQItABQABgAIAAAAIQCQ/EnS3AAAAAkB&#10;AAAPAAAAAAAAAAAAAAAAAA4FAABkcnMvZG93bnJldi54bWxQSwUGAAAAAAQABADzAAAAFwYAAAAA&#10;">
                <v:oval id="Ellipse 64"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BwLwwAAANsAAAAPAAAAZHJzL2Rvd25yZXYueG1sRI9Ra8Iw&#10;FIXfB/sP4Q72NlOHyOiMUgqjgym4ur1fmrum2NyUJKv13xtB8PFwzvkOZ7WZbC9G8qFzrGA+y0AQ&#10;N0533Cr4OXy8vIEIEVlj75gUnCnAZv34sMJcuxN/01jHViQIhxwVmBiHXMrQGLIYZm4gTt6f8xZj&#10;kr6V2uMpwW0vX7NsKS12nBYMDlQaao71v1WwrzrTLqZK6nLviq3f/e6+XK/U89NUvIOINMV7+Nb+&#10;1AqWC7h+ST9Ari8AAAD//wMAUEsBAi0AFAAGAAgAAAAhANvh9svuAAAAhQEAABMAAAAAAAAAAAAA&#10;AAAAAAAAAFtDb250ZW50X1R5cGVzXS54bWxQSwECLQAUAAYACAAAACEAWvQsW78AAAAVAQAACwAA&#10;AAAAAAAAAAAAAAAfAQAAX3JlbHMvLnJlbHNQSwECLQAUAAYACAAAACEAMNwcC8MAAADbAAAADwAA&#10;AAAAAAAAAAAAAAAHAgAAZHJzL2Rvd25yZXYueG1sUEsFBgAAAAADAAMAtwAAAPcCAAAAAA==&#10;" fillcolor="#fe8637" strokecolor="#fe8637" strokeweight="3pt">
                  <v:stroke linestyle="thinThin"/>
                </v:oval>
                <v:rect id="Rectangle 65"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Sf6xQAAANsAAAAPAAAAZHJzL2Rvd25yZXYueG1sRI9Ba8JA&#10;FITvBf/D8oReSt1YUC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BHfSf6xQAAANsAAAAP&#10;AAAAAAAAAAAAAAAAAAcCAABkcnMvZG93bnJldi54bWxQSwUGAAAAAAMAAwC3AAAA+Q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5408" behindDoc="0" locked="0" layoutInCell="1" allowOverlap="1" wp14:anchorId="2E20C8E6" wp14:editId="54B999C4">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66" name="Groupe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67" name="Ellipse 67"/>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68" name="Rectangle 68"/>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4D2CB9" id="Groupe 8" o:spid="_x0000_s1026" style="position:absolute;margin-left:0;margin-top:10in;width:43.2pt;height:43.2pt;z-index:251665408;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hCarwIAAFkHAAAOAAAAZHJzL2Uyb0RvYy54bWzMVctO3DAU3VfqP1jZlyQMhBCRQQgGuqAU&#10;FaquPY7zUB3bss1k+PteXycDM9CqomrVTWTH93nOufbJ6boXZMWN7ZQso3QviQiXTFWdbMro6/3l&#10;hzwi1lFZUaEkL6NHbqPT+ft3J4Mu+L5qlai4IRBE2mLQZdQ6p4s4tqzlPbV7SnMJh7UyPXWwNU1c&#10;GTpA9F7E+0mSxYMylTaKcWvh70U4jOYYv645c5/r2nJHRBlBbQ6/Br9L/43nJ7RoDNVtx8Yy6Buq&#10;6GknIekm1AV1lDyY7kWovmNGWVW7Pab6WNV1xzj2AN2kyU43V0Y9aOylKYZGb2ACaHdwenNYdrO6&#10;NaSryijLIiJpDxxhWk5yD86gmwJsroy+07cmdAjLa8W+WziOd8/9vgnGZDl8UhXEow9OITjr2vQ+&#10;BLRN1sjB44YDvnaEwc/Dgzw7AKYYHI1r5Ii1QKT3SpPscBYROE4PsuOjwCBrF6M/eAdnv/AV0iKk&#10;xVLH0nxfoDf7BKn9M0jvWqo5MmU9XBOkRxOkCyE6bTnJsF6fHKwmRG2Ak0h13lLZ8DNj1NByWkFR&#10;Kfaw5eA3Fsh4HV9SQ6aP3vEZ0mmSZ4ApYpYfI7G0mBDfBxAR7lky20KMFtpYd8VVT/yijHjoAiPT&#10;1bV1Ad/Jyie0SnTVZScEbkyzPBeGrChM3+Uiz2bYPlCyZSYkGcpolqeJ573XIMZqKTDLlp39vXAw&#10;NLJCzXgMF+Pa0U6ENaQXEqUbcAxiWKrqETA1Cq8IX71v6379jRo9tu8AsRs1UU2LHQiCrfeU6gwk&#10;X3eIj6crBB9zguz+lf7g8g0j/QUuQpCWAAWOY/33FOgRGCf81VmddPfTSX2hOwPV/0p0UnnFIeWe&#10;WU/A+OO/4BpvHri/8TIa3xr/QDzfozaeXsT5DwAAAP//AwBQSwMEFAAGAAgAAAAhAJD8SdLcAAAA&#10;CQEAAA8AAABkcnMvZG93bnJldi54bWxMT0FOwzAQvCPxB2uRuCDqUEJUpXEqQI04EyKh3px4cSLi&#10;dRS7bfg9y4neZmdGszPFbnGjOOEcBk8KHlYJCKTOm4Gsguajut+ACFGT0aMnVPCDAXbl9VWhc+PP&#10;9I6nOlrBIRRyraCPccqlDF2PToeVn5BY+/Kz05HP2Uoz6zOHu1GukySTTg/EH3o94WuP3Xd9dApa&#10;12W1/az2eOfbF3t4bJrqba/U7c3yvAURcYn/Zvirz9Wh5E6tP5IJYlTAQyKzaZowYn2TpSBaZp7W&#10;jGRZyMsF5S8AAAD//wMAUEsBAi0AFAAGAAgAAAAhALaDOJL+AAAA4QEAABMAAAAAAAAAAAAAAAAA&#10;AAAAAFtDb250ZW50X1R5cGVzXS54bWxQSwECLQAUAAYACAAAACEAOP0h/9YAAACUAQAACwAAAAAA&#10;AAAAAAAAAAAvAQAAX3JlbHMvLnJlbHNQSwECLQAUAAYACAAAACEAVIYQmq8CAABZBwAADgAAAAAA&#10;AAAAAAAAAAAuAgAAZHJzL2Uyb0RvYy54bWxQSwECLQAUAAYACAAAACEAkPxJ0twAAAAJAQAADwAA&#10;AAAAAAAAAAAAAAAJBQAAZHJzL2Rvd25yZXYueG1sUEsFBgAAAAAEAAQA8wAAABIGAAAAAA==&#10;">
                <v:oval id="Ellipse 67"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J8wQAAANsAAAAPAAAAZHJzL2Rvd25yZXYueG1sRI9BawIx&#10;FITvQv9DeAVvmrWIltUoIhSFKqjV+2Pz3CxuXpYk6vbfG0HwOMzMN8x03tpa3MiHyrGCQT8DQVw4&#10;XXGp4Pj30/sGESKyxtoxKfinAPPZR2eKuXZ33tPtEEuRIBxyVGBibHIpQ2HIYui7hjh5Z+ctxiR9&#10;KbXHe4LbWn5l2UharDgtGGxoaai4HK5WwW5VmXLYrqRe7txi47en7a+rlep+tosJiEhtfIdf7bVW&#10;MBrD80v6AXL2AAAA//8DAFBLAQItABQABgAIAAAAIQDb4fbL7gAAAIUBAAATAAAAAAAAAAAAAAAA&#10;AAAAAABbQ29udGVudF9UeXBlc10ueG1sUEsBAi0AFAAGAAgAAAAhAFr0LFu/AAAAFQEAAAsAAAAA&#10;AAAAAAAAAAAAHwEAAF9yZWxzLy5yZWxzUEsBAi0AFAAGAAgAAAAhAMAOgnzBAAAA2wAAAA8AAAAA&#10;AAAAAAAAAAAABwIAAGRycy9kb3ducmV2LnhtbFBLBQYAAAAAAwADALcAAAD1AgAAAAA=&#10;" fillcolor="#fe8637" strokecolor="#fe8637" strokeweight="3pt">
                  <v:stroke linestyle="thinThin"/>
                </v:oval>
                <v:rect id="Rectangle 68"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hkwgAAANsAAAAPAAAAZHJzL2Rvd25yZXYueG1sRE9Na4NA&#10;EL0X8h+WCfRSmrU5SLHZSBBCJBRCTZrz4E5V4s6qu1Xz77OHQo+P971JZ9OKkQbXWFbwtopAEJdW&#10;N1wpuJz3r+8gnEfW2FomBXdykG4XTxtMtJ34i8bCVyKEsEtQQe19l0jpypoMupXtiAP3YweDPsCh&#10;knrAKYSbVq6jKJYGGw4NNXaU1VTeil+jYCpP4/X8eZCnl2tuuc/7rPg+KvW8nHcfIDzN/l/85861&#10;gjiMDV/CD5DbBwAAAP//AwBQSwECLQAUAAYACAAAACEA2+H2y+4AAACFAQAAEwAAAAAAAAAAAAAA&#10;AAAAAAAAW0NvbnRlbnRfVHlwZXNdLnhtbFBLAQItABQABgAIAAAAIQBa9CxbvwAAABUBAAALAAAA&#10;AAAAAAAAAAAAAB8BAABfcmVscy8ucmVsc1BLAQItABQABgAIAAAAIQCpfIhkwgAAANsAAAAPAAAA&#10;AAAAAAAAAAAAAAcCAABkcnMvZG93bnJldi54bWxQSwUGAAAAAAMAAwC3AAAA9gI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6432" behindDoc="0" locked="0" layoutInCell="1" allowOverlap="1" wp14:anchorId="3AC7E96F" wp14:editId="45035F6B">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69" name="Grou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0" name="Ellipse 70"/>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71" name="Rectangle 71"/>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1A2A7C" id="Groupe 5" o:spid="_x0000_s1026" style="position:absolute;margin-left:0;margin-top:10in;width:43.2pt;height:43.2pt;z-index:251666432;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wRtgIAAFkHAAAOAAAAZHJzL2Uyb0RvYy54bWzMlV1P2zAUhu8n7T9Yvh9JKJQQkSIEhV0w&#10;hgbTrl3H+dAc27JNU/79jo/TQgubJjZNu4n8eXzO8752Tk5XvSRLYV2nVUmzvZQSobiuOtWU9Ov9&#10;5YecEueZqpjUSpT0UTh6Onv/7mQwhdjXrZaVsASCKFcMpqSt96ZIEsdb0TO3p41QMFlr2zMPXdsk&#10;lWUDRO9lsp+m02TQtjJWc+EcjF7ESTrD+HUtuP9c1054IksKuXn8WvwuwjeZnbCiscy0HR/TYG/I&#10;omedgkM3oS6YZ+TBdi9C9R232una73HdJ7quOy6wBqgmS3equbL6wWAtTTE0ZoMJ0O5wenNYfrO8&#10;taSrSjo9pkSxHjTCYwU5DHAG0xSw5sqaO3NrY4XQvNb8u4PpZHc+9Ju4mCyGT7qCeOzBa4Szqm0f&#10;QkDZZIUaPG40ECtPOAweHuTTA1CKw9TYRo14C0KGXVk6PZxQAtPZwfT4KCrI2/m4H3bHzaERMmRF&#10;PBZTHVMLdYHf3BNS92dI71pmBCrlAq4R6RHUEZHOpeyMEwRGECquWhN1ESdR+rxlqhFn1uqhFayC&#10;pDKsIWQLYeOG0HEgxut8SQ0nfQwbn5HO0nwKuSCz/DiPzNbE9wEi4p6kky1irDDW+SuhexIaJRWx&#10;CozMltfOR77rVeFAp2VXXXZSYsc2i3NpyZLB7buc59MJygWSbC2TigwlneRZGnTvDZixWkg8ZWud&#10;+71wcGlUhZ4JDOdj27NOxjYcLxVaN3KMZljo6hGYWo1PRMg+lHW/+sasGcv3QOxGr6VmxQ6CuDbs&#10;VPoMLF93yCfIFYOPZ4Lt/pX/srX/vsBDCNaS4EB01JahQI6/6cBAYLzhr97Vte9+elNf+M5C9r8y&#10;ndLBcSh5UDYIMA78F1rjywPvNz5G478m/CCe99EbT3/E2Q8AAAD//wMAUEsDBBQABgAIAAAAIQCQ&#10;/EnS3AAAAAkBAAAPAAAAZHJzL2Rvd25yZXYueG1sTE9BTsMwELwj8Qdrkbgg6lBCVKVxKkCNOBMi&#10;od6ceHEi4nUUu234PcuJ3mZnRrMzxW5xozjhHAZPCh5WCQikzpuBrILmo7rfgAhRk9GjJ1TwgwF2&#10;5fVVoXPjz/SOpzpawSEUcq2gj3HKpQxdj06HlZ+QWPvys9ORz9lKM+szh7tRrpMkk04PxB96PeFr&#10;j913fXQKWtdltf2s9njn2xd7eGya6m2v1O3N8rwFEXGJ/2b4q8/VoeROrT+SCWJUwEMis2maMGJ9&#10;k6UgWmae1oxkWcjLBeUvAAAA//8DAFBLAQItABQABgAIAAAAIQC2gziS/gAAAOEBAAATAAAAAAAA&#10;AAAAAAAAAAAAAABbQ29udGVudF9UeXBlc10ueG1sUEsBAi0AFAAGAAgAAAAhADj9If/WAAAAlAEA&#10;AAsAAAAAAAAAAAAAAAAALwEAAF9yZWxzLy5yZWxzUEsBAi0AFAAGAAgAAAAhAMREzBG2AgAAWQcA&#10;AA4AAAAAAAAAAAAAAAAALgIAAGRycy9lMm9Eb2MueG1sUEsBAi0AFAAGAAgAAAAhAJD8SdLcAAAA&#10;CQEAAA8AAAAAAAAAAAAAAAAAEAUAAGRycy9kb3ducmV2LnhtbFBLBQYAAAAABAAEAPMAAAAZBgAA&#10;AAA=&#10;">
                <v:oval id="Ellipse 70"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ozVvgAAANsAAAAPAAAAZHJzL2Rvd25yZXYueG1sRE/LisIw&#10;FN0P+A/hCu7GVBFHqlFEEAVH8Lm/NNem2NyUJGr9+8lCmOXhvGeL1tbiST5UjhUM+hkI4sLpiksF&#10;l/P6ewIiRGSNtWNS8KYAi3nna4a5di8+0vMUS5FCOOSowMTY5FKGwpDF0HcNceJuzluMCfpSao+v&#10;FG5rOcyysbRYcWow2NDKUHE/PayCw6Yy5ajdSL06uOWv31/3O1cr1eu2yymISG38F3/cW63gJ61P&#10;X9IPkPM/AAAA//8DAFBLAQItABQABgAIAAAAIQDb4fbL7gAAAIUBAAATAAAAAAAAAAAAAAAAAAAA&#10;AABbQ29udGVudF9UeXBlc10ueG1sUEsBAi0AFAAGAAgAAAAhAFr0LFu/AAAAFQEAAAsAAAAAAAAA&#10;AAAAAAAAHwEAAF9yZWxzLy5yZWxzUEsBAi0AFAAGAAgAAAAhAMo+jNW+AAAA2wAAAA8AAAAAAAAA&#10;AAAAAAAABwIAAGRycy9kb3ducmV2LnhtbFBLBQYAAAAAAwADALcAAADyAgAAAAA=&#10;" fillcolor="#fe8637" strokecolor="#fe8637" strokeweight="3pt">
                  <v:stroke linestyle="thinThin"/>
                </v:oval>
                <v:rect id="Rectangle 71"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ckxAAAANsAAAAPAAAAZHJzL2Rvd25yZXYueG1sRI9Ba8JA&#10;FITvhf6H5RV6KbrRg5aYjRShNBRBjNXzI/tMQrNvY3ZN4r93CwWPw8x8wyTr0TSip87VlhXMphEI&#10;4sLqmksFP4fPyTsI55E1NpZJwY0crNPnpwRjbQfeU5/7UgQIuxgVVN63sZSuqMigm9qWOHhn2xn0&#10;QXal1B0OAW4aOY+ihTRYc1iosKVNRcVvfjUKhmLXnw7bL7l7O2WWL9llkx+/lXp9GT9WIDyN/hH+&#10;b2dawXIGf1/CD5DpHQAA//8DAFBLAQItABQABgAIAAAAIQDb4fbL7gAAAIUBAAATAAAAAAAAAAAA&#10;AAAAAAAAAABbQ29udGVudF9UeXBlc10ueG1sUEsBAi0AFAAGAAgAAAAhAFr0LFu/AAAAFQEAAAsA&#10;AAAAAAAAAAAAAAAAHwEAAF9yZWxzLy5yZWxzUEsBAi0AFAAGAAgAAAAhAL2ftyTEAAAA2wAAAA8A&#10;AAAAAAAAAAAAAAAABwIAAGRycy9kb3ducmV2LnhtbFBLBQYAAAAAAwADALcAAAD4AgAAAAA=&#10;" filled="f" stroked="f"/>
                <w10:wrap anchorx="margin" anchory="margin"/>
              </v:group>
            </w:pict>
          </mc:Fallback>
        </mc:AlternateContent>
      </w:r>
      <w:r w:rsidR="00421304" w:rsidRPr="00A8388A">
        <w:rPr>
          <w:noProof/>
          <w:color w:val="auto"/>
          <w:szCs w:val="52"/>
        </w:rPr>
        <mc:AlternateContent>
          <mc:Choice Requires="wpg">
            <w:drawing>
              <wp:anchor distT="0" distB="0" distL="114300" distR="114300" simplePos="0" relativeHeight="251667456" behindDoc="0" locked="0" layoutInCell="1" allowOverlap="1" wp14:anchorId="225324E9" wp14:editId="3EC5451E">
                <wp:simplePos x="0" y="0"/>
                <mc:AlternateContent>
                  <mc:Choice Requires="wp14">
                    <wp:positionH relativeFrom="margin">
                      <wp14:pctPosHOffset>77000</wp14:pctPosHOffset>
                    </wp:positionH>
                  </mc:Choice>
                  <mc:Fallback>
                    <wp:positionH relativeFrom="page">
                      <wp:posOffset>5220970</wp:posOffset>
                    </wp:positionH>
                  </mc:Fallback>
                </mc:AlternateContent>
                <wp:positionV relativeFrom="bottomMargin">
                  <wp:posOffset>9144000</wp:posOffset>
                </wp:positionV>
                <wp:extent cx="548640" cy="548640"/>
                <wp:effectExtent l="0" t="0" r="0" b="0"/>
                <wp:wrapNone/>
                <wp:docPr id="72"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548640"/>
                          <a:chOff x="10653" y="14697"/>
                          <a:chExt cx="864" cy="864"/>
                        </a:xfrm>
                      </wpg:grpSpPr>
                      <wps:wsp>
                        <wps:cNvPr id="73" name="Ellipse 73"/>
                        <wps:cNvSpPr>
                          <a:spLocks noChangeArrowheads="1"/>
                        </wps:cNvSpPr>
                        <wps:spPr bwMode="auto">
                          <a:xfrm flipH="1">
                            <a:off x="10860" y="14898"/>
                            <a:ext cx="297" cy="303"/>
                          </a:xfrm>
                          <a:prstGeom prst="ellipse">
                            <a:avLst/>
                          </a:prstGeom>
                          <a:solidFill>
                            <a:srgbClr val="FE8637"/>
                          </a:solidFill>
                          <a:ln w="38100" cmpd="dbl">
                            <a:solidFill>
                              <a:srgbClr val="FE8637"/>
                            </a:solidFill>
                            <a:round/>
                            <a:headEnd/>
                            <a:tailEnd/>
                          </a:ln>
                        </wps:spPr>
                        <wps:bodyPr rot="0">
                          <a:prstTxWarp prst="textNoShape">
                            <a:avLst/>
                          </a:prstTxWarp>
                          <a:noAutofit/>
                        </wps:bodyPr>
                      </wps:wsp>
                      <wps:wsp>
                        <wps:cNvPr id="74" name="Rectangle 74"/>
                        <wps:cNvSpPr>
                          <a:spLocks noChangeArrowheads="1"/>
                        </wps:cNvSpPr>
                        <wps:spPr bwMode="auto">
                          <a:xfrm>
                            <a:off x="10653" y="14697"/>
                            <a:ext cx="864" cy="864"/>
                          </a:xfrm>
                          <a:prstGeom prst="rect">
                            <a:avLst/>
                          </a:prstGeom>
                          <a:noFill/>
                          <a:ln>
                            <a:noFill/>
                          </a:ln>
                        </wps:spPr>
                        <wps:bodyPr rot="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D909AF" id="Groupe 2" o:spid="_x0000_s1026" style="position:absolute;margin-left:0;margin-top:10in;width:43.2pt;height:43.2pt;z-index:251667456;mso-left-percent:770;mso-position-horizontal-relative:margin;mso-position-vertical-relative:bottom-margin-area;mso-left-percent:770;mso-width-relative:margin;mso-height-relative:margin" coordorigin="10653,14697" coordsize="86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lEgtwIAAFkHAAAOAAAAZHJzL2Uyb0RvYy54bWzMlV1P2zAUhu8n7T9Yvh9JWighIkUICrtg&#10;DA2mXbuO86E5tmWbpvz7HR+nBQqbJjZNu4mc2D4fz/vaOT5Z95KshHWdViXN9lJKhOK66lRT0q93&#10;Fx9ySpxnqmJSK1HSB+Hoyfz9u+PBFGKiWy0rYQkEUa4YTElb702RJI63omduTxuhYLLWtmceXm2T&#10;VJYNEL2XySRNZ8mgbWWs5sI5+HoeJ+kc49e14P5zXTvhiSwp1ObxafG5DM9kfsyKxjLTdnwsg72h&#10;ip51CpJuQ50zz8i97V6E6jtutdO13+O6T3Rdd1xgD9BNlu50c2n1vcFemmJozBYToN3h9Oaw/Hp1&#10;Y0lXlfRwQoliPWiEaQWZBDiDaQpYc2nNrbmxsUMYXmn+3cF0sjsf3pu4mCyHT7qCeOzea4Szrm0f&#10;QkDbZI0aPGw1EGtPOHw82M9n+6AUh6lxjBrxFoQMu7J0djClBKaz/dnRYVSQt4txP+yOm8MgVMiK&#10;mBZLHUsLfYHf3CNS92dIb1tmBCrlAq4NUqgzIl1I2RknyOE0QsVVG6Iu4iRKn7VMNeLUWj20glVQ&#10;VIY9hGohbNwQXhyI8TpfUkOmj2HjE9JZms+AKTLLj/LIbEN8AhAR9zTF6rbEWGGs85dC9yQMSipi&#10;FxiZra6cj3w3q0JCp2VXXXRS4ottlmfSkhWD03exyGdTlAsSPFsmFRlKOs2zNOjeGzBjtZSY5dk6&#10;93vh4NCoCj0TGC7GsWedjGNILxVaN3KMZljq6gGYWo1XRKg+tHW3/sasGdv3QOxab6RmxQ6CuDbs&#10;VPoULF93yCfIFYOPOcF2/8p/cBSi/77ARQjWkuBAPBXPDAVy/E0HBgLjCX/1rG5899OT+sJ3Fqr/&#10;lemUDo5DyYOyQYDxw3+hNd48cH/jZTT+a8IP4uk7euPxjzj/AQAA//8DAFBLAwQUAAYACAAAACEA&#10;kPxJ0twAAAAJAQAADwAAAGRycy9kb3ducmV2LnhtbExPQU7DMBC8I/EHa5G4IOpQQlSlcSpAjTgT&#10;IqHenHhxIuJ1FLtt+D3Lid5mZ0azM8VucaM44RwGTwoeVgkIpM6bgayC5qO634AIUZPRoydU8IMB&#10;duX1VaFz48/0jqc6WsEhFHKtoI9xyqUMXY9Oh5WfkFj78rPTkc/ZSjPrM4e7Ua6TJJNOD8Qfej3h&#10;a4/dd310ClrXZbX9rPZ459sXe3hsmuptr9TtzfK8BRFxif9m+KvP1aHkTq0/kgliVMBDIrNpmjBi&#10;fZOlIFpmntaMZFnIywXlLwAAAP//AwBQSwECLQAUAAYACAAAACEAtoM4kv4AAADhAQAAEwAAAAAA&#10;AAAAAAAAAAAAAAAAW0NvbnRlbnRfVHlwZXNdLnhtbFBLAQItABQABgAIAAAAIQA4/SH/1gAAAJQB&#10;AAALAAAAAAAAAAAAAAAAAC8BAABfcmVscy8ucmVsc1BLAQItABQABgAIAAAAIQBlllEgtwIAAFkH&#10;AAAOAAAAAAAAAAAAAAAAAC4CAABkcnMvZTJvRG9jLnhtbFBLAQItABQABgAIAAAAIQCQ/EnS3AAA&#10;AAkBAAAPAAAAAAAAAAAAAAAAABEFAABkcnMvZG93bnJldi54bWxQSwUGAAAAAAQABADzAAAAGgYA&#10;AAAA&#10;">
                <v:oval id="Ellipse 73" o:spid="_x0000_s1027" style="position:absolute;left:10860;top:14898;width:297;height:3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BKiwwAAANsAAAAPAAAAZHJzL2Rvd25yZXYueG1sRI9Ra8Iw&#10;FIXfB/sP4Q72NtM50dGZFhHEgRO00/dLc9eUNTclybT+ezMQfDycc77DmZeD7cSJfGgdK3gdZSCI&#10;a6dbbhQcvlcv7yBCRNbYOSYFFwpQFo8Pc8y1O/OeTlVsRIJwyFGBibHPpQy1IYth5Hri5P04bzEm&#10;6RupPZ4T3HZynGVTabHltGCwp6Wh+rf6swp269Y0k2Et9XLnFl9+e9xuXKfU89Ow+AARaYj38K39&#10;qRXM3uD/S/oBsrgCAAD//wMAUEsBAi0AFAAGAAgAAAAhANvh9svuAAAAhQEAABMAAAAAAAAAAAAA&#10;AAAAAAAAAFtDb250ZW50X1R5cGVzXS54bWxQSwECLQAUAAYACAAAACEAWvQsW78AAAAVAQAACwAA&#10;AAAAAAAAAAAAAAAfAQAAX3JlbHMvLnJlbHNQSwECLQAUAAYACAAAACEAOuwSosMAAADbAAAADwAA&#10;AAAAAAAAAAAAAAAHAgAAZHJzL2Rvd25yZXYueG1sUEsFBgAAAAADAAMAtwAAAPcCAAAAAA==&#10;" fillcolor="#fe8637" strokecolor="#fe8637" strokeweight="3pt">
                  <v:stroke linestyle="thinThin"/>
                </v:oval>
                <v:rect id="Rectangle 74" o:spid="_x0000_s1028" style="position:absolute;left:10653;top:14697;width:86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w10:wrap anchorx="margin" anchory="margin"/>
              </v:group>
            </w:pict>
          </mc:Fallback>
        </mc:AlternateContent>
      </w:r>
    </w:p>
    <w:p w14:paraId="7D3EDF25" w14:textId="77777777" w:rsidR="004479A8" w:rsidRPr="00A8388A" w:rsidRDefault="00CD5734">
      <w:pPr>
        <w:pStyle w:val="Sous-titre"/>
        <w:rPr>
          <w:color w:val="auto"/>
        </w:rPr>
      </w:pPr>
      <w:sdt>
        <w:sdtPr>
          <w:rPr>
            <w:color w:val="auto"/>
          </w:rPr>
          <w:id w:val="221498499"/>
        </w:sdtPr>
        <w:sdtEndPr/>
        <w:sdtContent>
          <w:r w:rsidR="00E2653A" w:rsidRPr="00A8388A">
            <w:rPr>
              <w:color w:val="auto"/>
            </w:rPr>
            <w:t>Conférence de Pierre-Michel MENGER, professeur de sociologie, Collège de France</w:t>
          </w:r>
        </w:sdtContent>
      </w:sdt>
    </w:p>
    <w:p w14:paraId="70038DAB" w14:textId="77777777" w:rsidR="004479A8" w:rsidRPr="00A8388A" w:rsidRDefault="004479A8">
      <w:pPr>
        <w:jc w:val="both"/>
        <w:rPr>
          <w:color w:val="auto"/>
        </w:rPr>
      </w:pPr>
    </w:p>
    <w:p w14:paraId="535EC372" w14:textId="556EF7EB" w:rsidR="004479A8" w:rsidRPr="00A8388A" w:rsidRDefault="00E2653A">
      <w:pPr>
        <w:jc w:val="both"/>
        <w:rPr>
          <w:color w:val="auto"/>
        </w:rPr>
      </w:pPr>
      <w:r w:rsidRPr="00A8388A">
        <w:rPr>
          <w:color w:val="auto"/>
        </w:rPr>
        <w:t xml:space="preserve">On peut envisager </w:t>
      </w:r>
      <w:r w:rsidRPr="009B4BD4">
        <w:rPr>
          <w:color w:val="auto"/>
        </w:rPr>
        <w:t xml:space="preserve">deux qualifications </w:t>
      </w:r>
      <w:r w:rsidR="004A56FE" w:rsidRPr="009B4BD4">
        <w:rPr>
          <w:color w:val="auto"/>
        </w:rPr>
        <w:t>classiques</w:t>
      </w:r>
      <w:r w:rsidRPr="009B4BD4">
        <w:rPr>
          <w:color w:val="auto"/>
        </w:rPr>
        <w:t xml:space="preserve"> du travail</w:t>
      </w:r>
      <w:r w:rsidRPr="00A8388A">
        <w:rPr>
          <w:color w:val="auto"/>
        </w:rPr>
        <w:t xml:space="preserve"> : le travail envisagé dans sa </w:t>
      </w:r>
      <w:r w:rsidRPr="009B4BD4">
        <w:rPr>
          <w:b/>
          <w:bCs/>
          <w:color w:val="auto"/>
        </w:rPr>
        <w:t>fonction instrumentale</w:t>
      </w:r>
      <w:r w:rsidRPr="00A8388A">
        <w:rPr>
          <w:color w:val="auto"/>
        </w:rPr>
        <w:t xml:space="preserve"> (le travail </w:t>
      </w:r>
      <w:r w:rsidR="004A56FE" w:rsidRPr="00A8388A">
        <w:rPr>
          <w:color w:val="auto"/>
        </w:rPr>
        <w:t>comme</w:t>
      </w:r>
      <w:r w:rsidRPr="00A8388A">
        <w:rPr>
          <w:color w:val="auto"/>
        </w:rPr>
        <w:t xml:space="preserve"> une charge) et le travail envisagé pour sa </w:t>
      </w:r>
      <w:r w:rsidRPr="009B4BD4">
        <w:rPr>
          <w:b/>
          <w:bCs/>
          <w:color w:val="auto"/>
        </w:rPr>
        <w:t xml:space="preserve">valeur </w:t>
      </w:r>
      <w:r w:rsidR="004A56FE" w:rsidRPr="009B4BD4">
        <w:rPr>
          <w:b/>
          <w:bCs/>
          <w:color w:val="auto"/>
        </w:rPr>
        <w:t>d’accomplissement</w:t>
      </w:r>
      <w:r w:rsidRPr="00A8388A">
        <w:rPr>
          <w:color w:val="auto"/>
        </w:rPr>
        <w:t xml:space="preserve"> (le travail </w:t>
      </w:r>
      <w:r w:rsidR="004A56FE" w:rsidRPr="00A8388A">
        <w:rPr>
          <w:color w:val="auto"/>
        </w:rPr>
        <w:t>comme</w:t>
      </w:r>
      <w:r w:rsidRPr="00A8388A">
        <w:rPr>
          <w:color w:val="auto"/>
        </w:rPr>
        <w:t xml:space="preserve"> moyen d’autoréalisation de l’individu par l’acte productif). Il existe cependant une troisième conception du travail, </w:t>
      </w:r>
      <w:r w:rsidRPr="009B4BD4">
        <w:rPr>
          <w:b/>
          <w:bCs/>
          <w:color w:val="auto"/>
        </w:rPr>
        <w:t xml:space="preserve">la </w:t>
      </w:r>
      <w:r w:rsidR="004A56FE" w:rsidRPr="009B4BD4">
        <w:rPr>
          <w:b/>
          <w:bCs/>
          <w:color w:val="auto"/>
        </w:rPr>
        <w:t>doctrine</w:t>
      </w:r>
      <w:r w:rsidRPr="009B4BD4">
        <w:rPr>
          <w:b/>
          <w:bCs/>
          <w:color w:val="auto"/>
        </w:rPr>
        <w:t xml:space="preserve"> welfariste</w:t>
      </w:r>
      <w:r w:rsidRPr="00A8388A">
        <w:rPr>
          <w:color w:val="auto"/>
        </w:rPr>
        <w:t xml:space="preserve">, qui s’est développée </w:t>
      </w:r>
      <w:r w:rsidR="009B4BD4">
        <w:rPr>
          <w:color w:val="auto"/>
        </w:rPr>
        <w:t xml:space="preserve">en France </w:t>
      </w:r>
      <w:r w:rsidRPr="00A8388A">
        <w:rPr>
          <w:color w:val="auto"/>
        </w:rPr>
        <w:t>avec la montée de l’Etat</w:t>
      </w:r>
      <w:r w:rsidR="001C4CE5">
        <w:rPr>
          <w:color w:val="auto"/>
        </w:rPr>
        <w:t>-p</w:t>
      </w:r>
      <w:r w:rsidRPr="00A8388A">
        <w:rPr>
          <w:color w:val="auto"/>
        </w:rPr>
        <w:t>rovidence. Le travail est alors envisagé comme le vecteur de la prospérité humaine à travers la hausse des salaires, l'introduction de droits attachés à une protection sociale et l’augmentation quantitative et qualitative de la consommation.</w:t>
      </w:r>
      <w:r w:rsidRPr="00A8388A">
        <w:rPr>
          <w:rStyle w:val="Appelnotedebasdep"/>
          <w:color w:val="auto"/>
        </w:rPr>
        <w:footnoteReference w:id="1"/>
      </w:r>
    </w:p>
    <w:p w14:paraId="757CBCA9" w14:textId="77777777" w:rsidR="001D1097" w:rsidRPr="00A8388A" w:rsidRDefault="001D1097">
      <w:pPr>
        <w:jc w:val="both"/>
        <w:rPr>
          <w:color w:val="auto"/>
        </w:rPr>
      </w:pPr>
    </w:p>
    <w:p w14:paraId="4D5E8DD7" w14:textId="77777777" w:rsidR="004479A8" w:rsidRPr="00A8388A" w:rsidRDefault="00E2653A">
      <w:pPr>
        <w:jc w:val="both"/>
        <w:rPr>
          <w:b/>
          <w:bCs/>
          <w:color w:val="auto"/>
        </w:rPr>
      </w:pPr>
      <w:r w:rsidRPr="00A8388A">
        <w:rPr>
          <w:color w:val="auto"/>
        </w:rPr>
        <w:t xml:space="preserve">Cet exposé aura pour fil rouge la question suivante : </w:t>
      </w:r>
      <w:r w:rsidRPr="00A8388A">
        <w:rPr>
          <w:b/>
          <w:bCs/>
          <w:color w:val="auto"/>
        </w:rPr>
        <w:t>en matière de travail, y a-t-il un paradoxe français ?</w:t>
      </w:r>
    </w:p>
    <w:p w14:paraId="3F74410E" w14:textId="77777777" w:rsidR="001D1097" w:rsidRPr="00A8388A" w:rsidRDefault="001D1097">
      <w:pPr>
        <w:jc w:val="both"/>
        <w:rPr>
          <w:b/>
          <w:bCs/>
          <w:color w:val="auto"/>
        </w:rPr>
      </w:pPr>
    </w:p>
    <w:p w14:paraId="4ACFD4F6" w14:textId="77777777" w:rsidR="00EF4473" w:rsidRPr="00A8388A" w:rsidRDefault="00EF4473">
      <w:pPr>
        <w:rPr>
          <w:color w:val="auto"/>
        </w:rPr>
      </w:pPr>
      <w:r w:rsidRPr="00A8388A">
        <w:rPr>
          <w:color w:val="auto"/>
        </w:rPr>
        <w:br w:type="page"/>
      </w:r>
    </w:p>
    <w:p w14:paraId="69F088A8" w14:textId="37BF8EA3" w:rsidR="004479A8" w:rsidRPr="00A8388A" w:rsidRDefault="00E2653A">
      <w:pPr>
        <w:jc w:val="both"/>
        <w:rPr>
          <w:color w:val="auto"/>
        </w:rPr>
      </w:pPr>
      <w:r w:rsidRPr="00A8388A">
        <w:rPr>
          <w:color w:val="auto"/>
        </w:rPr>
        <w:lastRenderedPageBreak/>
        <w:t xml:space="preserve">En France, le travail peut être considéré comme un système d’allocation de revenus et de droits sociaux. </w:t>
      </w:r>
    </w:p>
    <w:p w14:paraId="72F726FB" w14:textId="778C00FA" w:rsidR="00EF4473" w:rsidRPr="00A8388A" w:rsidRDefault="00E2653A">
      <w:pPr>
        <w:jc w:val="both"/>
        <w:rPr>
          <w:color w:val="auto"/>
        </w:rPr>
      </w:pPr>
      <w:r w:rsidRPr="00A8388A">
        <w:rPr>
          <w:color w:val="auto"/>
        </w:rPr>
        <w:t>Selon l’OCDE</w:t>
      </w:r>
      <w:r w:rsidRPr="00A8388A">
        <w:rPr>
          <w:color w:val="auto"/>
          <w:shd w:val="clear" w:color="auto" w:fill="FFFFFF" w:themeFill="background1"/>
        </w:rPr>
        <w:t xml:space="preserve">, </w:t>
      </w:r>
      <w:r w:rsidRPr="00201580">
        <w:rPr>
          <w:b/>
          <w:bCs/>
          <w:color w:val="auto"/>
          <w:shd w:val="clear" w:color="auto" w:fill="FFFFFF" w:themeFill="background1"/>
        </w:rPr>
        <w:t>la</w:t>
      </w:r>
      <w:r w:rsidRPr="00201580">
        <w:rPr>
          <w:b/>
          <w:bCs/>
          <w:color w:val="auto"/>
        </w:rPr>
        <w:t xml:space="preserve"> France a beaucoup d’atouts</w:t>
      </w:r>
      <w:r w:rsidRPr="00A8388A">
        <w:rPr>
          <w:color w:val="auto"/>
        </w:rPr>
        <w:t xml:space="preserve"> et notamment un faible taux de </w:t>
      </w:r>
      <w:r w:rsidR="00EF4473" w:rsidRPr="00A8388A">
        <w:rPr>
          <w:color w:val="auto"/>
        </w:rPr>
        <w:t>pauvreté</w:t>
      </w:r>
      <w:r w:rsidRPr="00A8388A">
        <w:rPr>
          <w:color w:val="auto"/>
        </w:rPr>
        <w:t xml:space="preserve"> </w:t>
      </w:r>
      <w:r w:rsidR="00D53D74" w:rsidRPr="00A8388A">
        <w:rPr>
          <w:color w:val="auto"/>
        </w:rPr>
        <w:t xml:space="preserve">et </w:t>
      </w:r>
      <w:r w:rsidRPr="00A8388A">
        <w:rPr>
          <w:color w:val="auto"/>
        </w:rPr>
        <w:t>une espérance de vie en bonne santé satisfaisante</w:t>
      </w:r>
      <w:r w:rsidR="00EF4473" w:rsidRPr="00A8388A">
        <w:rPr>
          <w:color w:val="auto"/>
        </w:rPr>
        <w:t xml:space="preserve"> </w:t>
      </w:r>
      <w:r w:rsidRPr="00A8388A">
        <w:rPr>
          <w:color w:val="auto"/>
        </w:rPr>
        <w:t xml:space="preserve">par rapport aux autres pays. </w:t>
      </w:r>
    </w:p>
    <w:p w14:paraId="553B9BCD" w14:textId="4B606978" w:rsidR="00EF4473" w:rsidRPr="00A8388A" w:rsidRDefault="00D53D74">
      <w:pPr>
        <w:jc w:val="both"/>
        <w:rPr>
          <w:color w:val="auto"/>
        </w:rPr>
      </w:pPr>
      <w:r w:rsidRPr="00A8388A">
        <w:rPr>
          <w:noProof/>
          <w:color w:val="auto"/>
        </w:rPr>
        <w:drawing>
          <wp:inline distT="0" distB="0" distL="0" distR="0" wp14:anchorId="188175A2" wp14:editId="266AB3A9">
            <wp:extent cx="5337175" cy="455612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37175" cy="4556125"/>
                    </a:xfrm>
                    <a:prstGeom prst="rect">
                      <a:avLst/>
                    </a:prstGeom>
                  </pic:spPr>
                </pic:pic>
              </a:graphicData>
            </a:graphic>
          </wp:inline>
        </w:drawing>
      </w:r>
    </w:p>
    <w:p w14:paraId="4CBAEC32" w14:textId="00C05D28" w:rsidR="004A3231" w:rsidRPr="00A8388A" w:rsidRDefault="004F5807" w:rsidP="004D6637">
      <w:pPr>
        <w:ind w:left="360"/>
        <w:jc w:val="right"/>
        <w:rPr>
          <w:color w:val="auto"/>
        </w:rPr>
      </w:pPr>
      <w:r w:rsidRPr="00A8388A">
        <w:rPr>
          <w:color w:val="auto"/>
        </w:rPr>
        <w:t xml:space="preserve">Source : OCDE (2019), </w:t>
      </w:r>
      <w:r w:rsidRPr="00A8388A">
        <w:rPr>
          <w:i/>
          <w:iCs/>
          <w:color w:val="auto"/>
        </w:rPr>
        <w:t>Etudes économiques de l’OCDE : France 2019, synthèse</w:t>
      </w:r>
      <w:r w:rsidRPr="00A8388A">
        <w:rPr>
          <w:color w:val="auto"/>
        </w:rPr>
        <w:t xml:space="preserve">, Editions OCDE, Paris. </w:t>
      </w:r>
      <w:r w:rsidR="00B940CB" w:rsidRPr="00A8388A">
        <w:rPr>
          <w:color w:val="auto"/>
        </w:rPr>
        <w:t>P.</w:t>
      </w:r>
      <w:r w:rsidR="004A3231" w:rsidRPr="00A8388A">
        <w:rPr>
          <w:color w:val="auto"/>
        </w:rPr>
        <w:t>18</w:t>
      </w:r>
      <w:r w:rsidR="00B940CB" w:rsidRPr="00A8388A">
        <w:rPr>
          <w:color w:val="auto"/>
        </w:rPr>
        <w:t>.</w:t>
      </w:r>
      <w:r w:rsidR="00D46A20" w:rsidRPr="00A8388A">
        <w:rPr>
          <w:rStyle w:val="Appelnotedebasdep"/>
          <w:color w:val="auto"/>
        </w:rPr>
        <w:footnoteReference w:id="2"/>
      </w:r>
    </w:p>
    <w:p w14:paraId="6EC282DF" w14:textId="37239FD2" w:rsidR="00BE4DCE" w:rsidRPr="00A8388A" w:rsidRDefault="00BE4DCE" w:rsidP="004D6637">
      <w:pPr>
        <w:ind w:left="360"/>
        <w:jc w:val="right"/>
        <w:rPr>
          <w:color w:val="auto"/>
        </w:rPr>
      </w:pPr>
    </w:p>
    <w:p w14:paraId="6CB71593" w14:textId="46C3A3E2" w:rsidR="00BE4DCE" w:rsidRPr="00A8388A" w:rsidRDefault="00BE4DCE" w:rsidP="004D6637">
      <w:pPr>
        <w:ind w:left="360"/>
        <w:jc w:val="right"/>
        <w:rPr>
          <w:color w:val="auto"/>
        </w:rPr>
      </w:pPr>
    </w:p>
    <w:p w14:paraId="5A72FC20" w14:textId="083F4E77" w:rsidR="00BE4DCE" w:rsidRPr="00A8388A" w:rsidRDefault="00BE4DCE" w:rsidP="004D6637">
      <w:pPr>
        <w:ind w:left="360"/>
        <w:jc w:val="right"/>
        <w:rPr>
          <w:color w:val="auto"/>
        </w:rPr>
      </w:pPr>
    </w:p>
    <w:p w14:paraId="7FB1E1DA" w14:textId="663251FE" w:rsidR="00BE4DCE" w:rsidRPr="00A8388A" w:rsidRDefault="00BE4DCE" w:rsidP="004D6637">
      <w:pPr>
        <w:ind w:left="360"/>
        <w:jc w:val="right"/>
        <w:rPr>
          <w:color w:val="auto"/>
        </w:rPr>
      </w:pPr>
    </w:p>
    <w:p w14:paraId="33806965" w14:textId="605825A6" w:rsidR="00BE4DCE" w:rsidRPr="00A8388A" w:rsidRDefault="00BE4DCE" w:rsidP="004D6637">
      <w:pPr>
        <w:ind w:left="360"/>
        <w:jc w:val="right"/>
        <w:rPr>
          <w:color w:val="auto"/>
        </w:rPr>
      </w:pPr>
    </w:p>
    <w:p w14:paraId="30A948F7" w14:textId="696108A4" w:rsidR="00BE4DCE" w:rsidRPr="00A8388A" w:rsidRDefault="00BE4DCE" w:rsidP="004D6637">
      <w:pPr>
        <w:ind w:left="360"/>
        <w:jc w:val="right"/>
        <w:rPr>
          <w:color w:val="auto"/>
        </w:rPr>
      </w:pPr>
    </w:p>
    <w:p w14:paraId="4A955E69" w14:textId="77777777" w:rsidR="00BE4DCE" w:rsidRPr="00A8388A" w:rsidRDefault="00BE4DCE" w:rsidP="004D6637">
      <w:pPr>
        <w:ind w:left="360"/>
        <w:jc w:val="right"/>
        <w:rPr>
          <w:color w:val="auto"/>
        </w:rPr>
      </w:pPr>
    </w:p>
    <w:p w14:paraId="4BB77550" w14:textId="63F4E335" w:rsidR="004479A8" w:rsidRPr="00A8388A" w:rsidRDefault="00E2653A">
      <w:pPr>
        <w:jc w:val="both"/>
        <w:rPr>
          <w:color w:val="auto"/>
        </w:rPr>
      </w:pPr>
      <w:r w:rsidRPr="00A8388A">
        <w:rPr>
          <w:color w:val="auto"/>
        </w:rPr>
        <w:lastRenderedPageBreak/>
        <w:t xml:space="preserve">Cependant, la France a également </w:t>
      </w:r>
      <w:r w:rsidRPr="00201580">
        <w:rPr>
          <w:b/>
          <w:bCs/>
          <w:color w:val="auto"/>
        </w:rPr>
        <w:t>de nombreux défis</w:t>
      </w:r>
      <w:r w:rsidRPr="00A8388A">
        <w:rPr>
          <w:color w:val="auto"/>
        </w:rPr>
        <w:t xml:space="preserve"> à relever : </w:t>
      </w:r>
    </w:p>
    <w:p w14:paraId="581C678F" w14:textId="3D8AB1E5" w:rsidR="004479A8" w:rsidRPr="00A8388A" w:rsidRDefault="00E2653A" w:rsidP="00201580">
      <w:pPr>
        <w:pStyle w:val="Paragraphedeliste"/>
        <w:numPr>
          <w:ilvl w:val="0"/>
          <w:numId w:val="21"/>
        </w:numPr>
        <w:jc w:val="both"/>
        <w:rPr>
          <w:color w:val="auto"/>
        </w:rPr>
      </w:pPr>
      <w:r w:rsidRPr="00A8388A">
        <w:rPr>
          <w:color w:val="auto"/>
        </w:rPr>
        <w:t>Une jeunesse qui n’est pas en emploi, en formation ou en éducation (plus de 15% des jeunes) qualifiée de N</w:t>
      </w:r>
      <w:r w:rsidR="001A4503" w:rsidRPr="00A8388A">
        <w:rPr>
          <w:color w:val="auto"/>
        </w:rPr>
        <w:t xml:space="preserve">EET </w:t>
      </w:r>
      <w:r w:rsidR="00C42139" w:rsidRPr="00A8388A">
        <w:rPr>
          <w:color w:val="auto"/>
        </w:rPr>
        <w:t>(Not in Education, Employment or Training)</w:t>
      </w:r>
      <w:r w:rsidR="00A14CC6" w:rsidRPr="00A8388A">
        <w:rPr>
          <w:color w:val="auto"/>
        </w:rPr>
        <w:t>.</w:t>
      </w:r>
    </w:p>
    <w:p w14:paraId="54BDCF8F" w14:textId="7D1579CE" w:rsidR="004479A8" w:rsidRPr="00A8388A" w:rsidRDefault="00E2653A" w:rsidP="00201580">
      <w:pPr>
        <w:pStyle w:val="Paragraphedeliste"/>
        <w:numPr>
          <w:ilvl w:val="0"/>
          <w:numId w:val="21"/>
        </w:numPr>
        <w:jc w:val="both"/>
        <w:rPr>
          <w:color w:val="auto"/>
        </w:rPr>
      </w:pPr>
      <w:r w:rsidRPr="00A8388A">
        <w:rPr>
          <w:color w:val="auto"/>
        </w:rPr>
        <w:t xml:space="preserve">Un taux </w:t>
      </w:r>
      <w:r w:rsidR="004F7B09" w:rsidRPr="00A8388A">
        <w:rPr>
          <w:color w:val="auto"/>
        </w:rPr>
        <w:t xml:space="preserve">d'individus ayant des compétences faibles </w:t>
      </w:r>
      <w:r w:rsidRPr="00A8388A">
        <w:rPr>
          <w:color w:val="auto"/>
        </w:rPr>
        <w:t>supérieur à celui de l’OCDE, ce qui constitue son plus grand défi</w:t>
      </w:r>
      <w:r w:rsidR="004F7B09" w:rsidRPr="00A8388A">
        <w:rPr>
          <w:rStyle w:val="Appelnotedebasdep"/>
          <w:color w:val="auto"/>
        </w:rPr>
        <w:footnoteReference w:id="3"/>
      </w:r>
      <w:r w:rsidR="00A14CC6" w:rsidRPr="00A8388A">
        <w:rPr>
          <w:color w:val="auto"/>
        </w:rPr>
        <w:t>.</w:t>
      </w:r>
    </w:p>
    <w:p w14:paraId="3BEED217" w14:textId="67BA0F09" w:rsidR="008C2BEA" w:rsidRPr="00A8388A" w:rsidRDefault="004F5807" w:rsidP="008C2BEA">
      <w:pPr>
        <w:ind w:left="360"/>
        <w:jc w:val="both"/>
        <w:rPr>
          <w:color w:val="auto"/>
        </w:rPr>
      </w:pPr>
      <w:r w:rsidRPr="00A8388A">
        <w:rPr>
          <w:noProof/>
          <w:color w:val="auto"/>
        </w:rPr>
        <w:drawing>
          <wp:inline distT="0" distB="0" distL="0" distR="0" wp14:anchorId="67DFAC8D" wp14:editId="7D286E21">
            <wp:extent cx="5337175" cy="3592830"/>
            <wp:effectExtent l="0" t="0" r="0" b="762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7175" cy="3592830"/>
                    </a:xfrm>
                    <a:prstGeom prst="rect">
                      <a:avLst/>
                    </a:prstGeom>
                  </pic:spPr>
                </pic:pic>
              </a:graphicData>
            </a:graphic>
          </wp:inline>
        </w:drawing>
      </w:r>
    </w:p>
    <w:p w14:paraId="1FE20C56" w14:textId="01B94A88" w:rsidR="00BE4DCE" w:rsidRDefault="008C2BEA" w:rsidP="008D0A2F">
      <w:pPr>
        <w:ind w:left="360"/>
        <w:jc w:val="right"/>
        <w:rPr>
          <w:color w:val="auto"/>
        </w:rPr>
      </w:pPr>
      <w:r w:rsidRPr="00A8388A">
        <w:rPr>
          <w:color w:val="auto"/>
        </w:rPr>
        <w:t>Source :</w:t>
      </w:r>
      <w:r w:rsidR="004F5807" w:rsidRPr="00A8388A">
        <w:rPr>
          <w:color w:val="auto"/>
        </w:rPr>
        <w:t xml:space="preserve"> OCDE (2019), </w:t>
      </w:r>
      <w:r w:rsidR="004F5807" w:rsidRPr="00A8388A">
        <w:rPr>
          <w:i/>
          <w:iCs/>
          <w:color w:val="auto"/>
        </w:rPr>
        <w:t>Etudes économiques de l’OCDE : France 2019</w:t>
      </w:r>
      <w:r w:rsidR="004F5807" w:rsidRPr="00A8388A">
        <w:rPr>
          <w:color w:val="auto"/>
        </w:rPr>
        <w:t xml:space="preserve">, Editions OCDE, Paris. </w:t>
      </w:r>
      <w:r w:rsidR="00BB074F" w:rsidRPr="00A8388A">
        <w:rPr>
          <w:color w:val="auto"/>
        </w:rPr>
        <w:t xml:space="preserve">P.91. </w:t>
      </w:r>
      <w:r w:rsidR="004F5807" w:rsidRPr="00A8388A">
        <w:rPr>
          <w:color w:val="auto"/>
        </w:rPr>
        <w:t xml:space="preserve">DOI : </w:t>
      </w:r>
      <w:hyperlink r:id="rId10" w:history="1">
        <w:r w:rsidR="004F5807" w:rsidRPr="00A8388A">
          <w:rPr>
            <w:color w:val="auto"/>
          </w:rPr>
          <w:t>https://doi.org/10.1787/10f0135f-fr</w:t>
        </w:r>
      </w:hyperlink>
      <w:r w:rsidR="00E32DD1" w:rsidRPr="00A8388A">
        <w:rPr>
          <w:color w:val="auto"/>
        </w:rPr>
        <w:t xml:space="preserve">. </w:t>
      </w:r>
    </w:p>
    <w:p w14:paraId="3C6D0711" w14:textId="3DB4F1D8" w:rsidR="008D0A2F" w:rsidRDefault="008D0A2F" w:rsidP="008D0A2F">
      <w:pPr>
        <w:ind w:left="360"/>
        <w:jc w:val="right"/>
        <w:rPr>
          <w:color w:val="auto"/>
        </w:rPr>
      </w:pPr>
    </w:p>
    <w:p w14:paraId="61AEADB4" w14:textId="054AC21D" w:rsidR="008D0A2F" w:rsidRDefault="008D0A2F" w:rsidP="008D0A2F">
      <w:pPr>
        <w:ind w:left="360"/>
        <w:jc w:val="right"/>
        <w:rPr>
          <w:color w:val="auto"/>
        </w:rPr>
      </w:pPr>
    </w:p>
    <w:p w14:paraId="20057F58" w14:textId="0B825C39" w:rsidR="008D0A2F" w:rsidRDefault="008D0A2F" w:rsidP="008D0A2F">
      <w:pPr>
        <w:ind w:left="360"/>
        <w:jc w:val="right"/>
        <w:rPr>
          <w:color w:val="auto"/>
        </w:rPr>
      </w:pPr>
    </w:p>
    <w:p w14:paraId="2318A756" w14:textId="77777777" w:rsidR="008D0A2F" w:rsidRDefault="008D0A2F" w:rsidP="008D0A2F">
      <w:pPr>
        <w:ind w:left="360"/>
        <w:jc w:val="right"/>
        <w:rPr>
          <w:color w:val="auto"/>
        </w:rPr>
      </w:pPr>
    </w:p>
    <w:p w14:paraId="42DD2BF6" w14:textId="77777777" w:rsidR="008D0A2F" w:rsidRPr="00A8388A" w:rsidRDefault="008D0A2F" w:rsidP="008D0A2F">
      <w:pPr>
        <w:ind w:left="360"/>
        <w:jc w:val="right"/>
        <w:rPr>
          <w:color w:val="auto"/>
        </w:rPr>
      </w:pPr>
    </w:p>
    <w:p w14:paraId="10D08F66" w14:textId="69CE4DC4" w:rsidR="004479A8" w:rsidRPr="00A8388A" w:rsidRDefault="00E2653A" w:rsidP="00201580">
      <w:pPr>
        <w:pStyle w:val="Paragraphedeliste"/>
        <w:numPr>
          <w:ilvl w:val="0"/>
          <w:numId w:val="21"/>
        </w:numPr>
        <w:jc w:val="both"/>
        <w:rPr>
          <w:color w:val="auto"/>
        </w:rPr>
      </w:pPr>
      <w:r w:rsidRPr="00A8388A">
        <w:rPr>
          <w:color w:val="auto"/>
        </w:rPr>
        <w:lastRenderedPageBreak/>
        <w:t>Une mobilité sociale assez faible.</w:t>
      </w:r>
      <w:r w:rsidR="004F7B09" w:rsidRPr="00A8388A">
        <w:rPr>
          <w:rStyle w:val="Appelnotedebasdep"/>
          <w:color w:val="auto"/>
        </w:rPr>
        <w:footnoteReference w:id="4"/>
      </w:r>
      <w:r w:rsidRPr="00A8388A">
        <w:rPr>
          <w:color w:val="auto"/>
        </w:rPr>
        <w:t xml:space="preserve"> A noter que</w:t>
      </w:r>
      <w:r w:rsidR="00F65544">
        <w:rPr>
          <w:color w:val="auto"/>
        </w:rPr>
        <w:t>,</w:t>
      </w:r>
      <w:r w:rsidRPr="00A8388A">
        <w:rPr>
          <w:color w:val="auto"/>
        </w:rPr>
        <w:t xml:space="preserve"> pour l’OCDE, la notion de mobilité sociale correspond au nombre de générations qu’il faudrait aux descendants d’une famille située dans le décile inférieur pour atteindre le revenu moyen dans la société. Elle ne correspond donc pas à l’approche française de la mobilité sociale en termes de catégories sociales car ces dernières sont de plus en plus hétérogènes notamment en ce qui concerne les revenus. </w:t>
      </w:r>
    </w:p>
    <w:p w14:paraId="1B329AE4" w14:textId="558DB089" w:rsidR="009F5A3B" w:rsidRPr="00A8388A" w:rsidRDefault="009F5A3B" w:rsidP="009F5A3B">
      <w:pPr>
        <w:jc w:val="both"/>
        <w:rPr>
          <w:color w:val="auto"/>
        </w:rPr>
      </w:pPr>
      <w:r w:rsidRPr="00A8388A">
        <w:rPr>
          <w:noProof/>
          <w:color w:val="auto"/>
        </w:rPr>
        <w:drawing>
          <wp:inline distT="0" distB="0" distL="0" distR="0" wp14:anchorId="60E517F2" wp14:editId="04B48A29">
            <wp:extent cx="5337175" cy="449643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7175" cy="4496435"/>
                    </a:xfrm>
                    <a:prstGeom prst="rect">
                      <a:avLst/>
                    </a:prstGeom>
                  </pic:spPr>
                </pic:pic>
              </a:graphicData>
            </a:graphic>
          </wp:inline>
        </w:drawing>
      </w:r>
    </w:p>
    <w:p w14:paraId="67B38296" w14:textId="7993EB2A" w:rsidR="00D46A20" w:rsidRPr="00A8388A" w:rsidRDefault="00D46A20" w:rsidP="00D46A20">
      <w:pPr>
        <w:ind w:left="360"/>
        <w:jc w:val="right"/>
        <w:rPr>
          <w:color w:val="auto"/>
        </w:rPr>
      </w:pPr>
      <w:r w:rsidRPr="00A8388A">
        <w:rPr>
          <w:color w:val="auto"/>
        </w:rPr>
        <w:t xml:space="preserve">Source : OCDE (2019), </w:t>
      </w:r>
      <w:r w:rsidRPr="00A8388A">
        <w:rPr>
          <w:i/>
          <w:iCs/>
          <w:color w:val="auto"/>
        </w:rPr>
        <w:t>Etudes économiques de l’OCDE : France 2019, synthèse</w:t>
      </w:r>
      <w:r w:rsidRPr="00A8388A">
        <w:rPr>
          <w:color w:val="auto"/>
        </w:rPr>
        <w:t>, Editions OCDE, Paris. P.34.</w:t>
      </w:r>
      <w:r w:rsidRPr="00A8388A">
        <w:rPr>
          <w:rStyle w:val="Appelnotedebasdep"/>
          <w:color w:val="auto"/>
        </w:rPr>
        <w:footnoteReference w:id="5"/>
      </w:r>
    </w:p>
    <w:p w14:paraId="1F0A68EC" w14:textId="77777777" w:rsidR="009C22CB" w:rsidRPr="00A8388A" w:rsidRDefault="00E2653A">
      <w:pPr>
        <w:jc w:val="both"/>
        <w:rPr>
          <w:color w:val="auto"/>
        </w:rPr>
      </w:pPr>
      <w:r w:rsidRPr="00A8388A">
        <w:rPr>
          <w:color w:val="auto"/>
        </w:rPr>
        <w:t xml:space="preserve">Le modèle français possède un système de redistribution des revenus plutôt intensif car il permet de réduire considérablement les inégalités de revenus après impôts et transferts ce qui fait de la France un pays plutôt moins inégalitaire que les pays de l’OCDE. </w:t>
      </w:r>
    </w:p>
    <w:p w14:paraId="5520637F" w14:textId="1688C793" w:rsidR="009C22CB" w:rsidRPr="00A8388A" w:rsidRDefault="009C22CB">
      <w:pPr>
        <w:jc w:val="both"/>
        <w:rPr>
          <w:color w:val="auto"/>
        </w:rPr>
      </w:pPr>
      <w:r w:rsidRPr="00A8388A">
        <w:rPr>
          <w:color w:val="auto"/>
        </w:rPr>
        <w:t xml:space="preserve">A l’égard du travail, la France a donc une position qui n’est pas mirobolante mais qui </w:t>
      </w:r>
      <w:r w:rsidR="00332F7E" w:rsidRPr="00A8388A">
        <w:rPr>
          <w:color w:val="auto"/>
        </w:rPr>
        <w:t>n’est pas non plus désastreuse et possède même certains domaines qui sont enviables.</w:t>
      </w:r>
    </w:p>
    <w:p w14:paraId="2C19E57E" w14:textId="453177BB" w:rsidR="004479A8" w:rsidRPr="00A8388A" w:rsidRDefault="00E2653A">
      <w:pPr>
        <w:jc w:val="both"/>
        <w:rPr>
          <w:color w:val="auto"/>
        </w:rPr>
      </w:pPr>
      <w:r w:rsidRPr="00A8388A">
        <w:rPr>
          <w:color w:val="auto"/>
        </w:rPr>
        <w:t>Et pourtant</w:t>
      </w:r>
      <w:r w:rsidR="00332F7E" w:rsidRPr="00A8388A">
        <w:rPr>
          <w:color w:val="auto"/>
        </w:rPr>
        <w:t xml:space="preserve"> </w:t>
      </w:r>
      <w:r w:rsidRPr="00A8388A">
        <w:rPr>
          <w:color w:val="auto"/>
        </w:rPr>
        <w:t>le climat d’insatisfaction en France est fort et notamment en ce qui concerne les inégalités de revenu. D’où des appels récurrents à des réformes structur</w:t>
      </w:r>
      <w:r w:rsidR="000B47CF" w:rsidRPr="00A8388A">
        <w:rPr>
          <w:color w:val="auto"/>
        </w:rPr>
        <w:t>a</w:t>
      </w:r>
      <w:r w:rsidRPr="00A8388A">
        <w:rPr>
          <w:color w:val="auto"/>
        </w:rPr>
        <w:t xml:space="preserve">les voire </w:t>
      </w:r>
      <w:r w:rsidR="000B47CF" w:rsidRPr="00A8388A">
        <w:rPr>
          <w:color w:val="auto"/>
        </w:rPr>
        <w:t>radicales.</w:t>
      </w:r>
    </w:p>
    <w:p w14:paraId="7885D768" w14:textId="55BCD630" w:rsidR="004479A8" w:rsidRPr="00A8388A" w:rsidRDefault="00EC0A00">
      <w:pPr>
        <w:spacing w:after="160" w:line="259" w:lineRule="auto"/>
        <w:jc w:val="both"/>
        <w:rPr>
          <w:color w:val="auto"/>
        </w:rPr>
      </w:pPr>
      <w:r w:rsidRPr="00A8388A">
        <w:rPr>
          <w:color w:val="auto"/>
        </w:rPr>
        <w:lastRenderedPageBreak/>
        <w:t>Il y a donc un paradoxe en France. L</w:t>
      </w:r>
      <w:r w:rsidR="00E2653A" w:rsidRPr="00A8388A">
        <w:rPr>
          <w:color w:val="auto"/>
        </w:rPr>
        <w:t xml:space="preserve">es Français </w:t>
      </w:r>
      <w:r w:rsidR="008C3046" w:rsidRPr="00A8388A">
        <w:rPr>
          <w:color w:val="auto"/>
        </w:rPr>
        <w:t xml:space="preserve">(en moyenne) </w:t>
      </w:r>
      <w:r w:rsidR="00E2653A" w:rsidRPr="00A8388A">
        <w:rPr>
          <w:color w:val="auto"/>
        </w:rPr>
        <w:t>accordent beaucoup d’importance au travail (vu comme un moyen d’accomplissement</w:t>
      </w:r>
      <w:r w:rsidR="008C3046" w:rsidRPr="00A8388A">
        <w:rPr>
          <w:color w:val="auto"/>
        </w:rPr>
        <w:t xml:space="preserve"> personnel</w:t>
      </w:r>
      <w:r w:rsidR="00E2653A" w:rsidRPr="00A8388A">
        <w:rPr>
          <w:color w:val="auto"/>
        </w:rPr>
        <w:t>)</w:t>
      </w:r>
      <w:r w:rsidRPr="00A8388A">
        <w:rPr>
          <w:color w:val="auto"/>
        </w:rPr>
        <w:t xml:space="preserve"> et pourtant les quantités de travail des Français ne correspondent pas à l’idée selon laquelle plus on a de travail, mieux on se porte</w:t>
      </w:r>
      <w:r w:rsidR="00E2653A" w:rsidRPr="00A8388A">
        <w:rPr>
          <w:color w:val="auto"/>
        </w:rPr>
        <w:t>. L</w:t>
      </w:r>
      <w:r w:rsidR="00F37937" w:rsidRPr="00A8388A">
        <w:rPr>
          <w:color w:val="auto"/>
        </w:rPr>
        <w:t xml:space="preserve">es enquêtes </w:t>
      </w:r>
      <w:r w:rsidR="00E2653A" w:rsidRPr="00A8388A">
        <w:rPr>
          <w:color w:val="auto"/>
        </w:rPr>
        <w:t xml:space="preserve">European Value Survey </w:t>
      </w:r>
      <w:r w:rsidR="00F37937" w:rsidRPr="00A8388A">
        <w:rPr>
          <w:color w:val="auto"/>
        </w:rPr>
        <w:t>de 2008 et 2017</w:t>
      </w:r>
      <w:r w:rsidR="00F37937" w:rsidRPr="00A8388A">
        <w:rPr>
          <w:rStyle w:val="Appelnotedebasdep"/>
          <w:color w:val="auto"/>
        </w:rPr>
        <w:footnoteReference w:id="6"/>
      </w:r>
      <w:r w:rsidR="00E2653A" w:rsidRPr="00A8388A">
        <w:rPr>
          <w:color w:val="auto"/>
        </w:rPr>
        <w:t xml:space="preserve"> montre</w:t>
      </w:r>
      <w:r w:rsidR="00F37937" w:rsidRPr="00A8388A">
        <w:rPr>
          <w:color w:val="auto"/>
        </w:rPr>
        <w:t>nt</w:t>
      </w:r>
      <w:r w:rsidR="00E2653A" w:rsidRPr="00A8388A">
        <w:rPr>
          <w:color w:val="auto"/>
        </w:rPr>
        <w:t xml:space="preserve"> d’ailleurs que, pour les Français, le travail est important dans leur vie et qu’il est même considéré comme un devoir envers la société. Et pourtant </w:t>
      </w:r>
      <w:r w:rsidR="00164F04" w:rsidRPr="00A8388A">
        <w:rPr>
          <w:color w:val="auto"/>
        </w:rPr>
        <w:t>on préférerait avoir le travail d’une autre manière ou dans d’autres quantités.</w:t>
      </w:r>
      <w:r w:rsidR="00E2653A" w:rsidRPr="00A8388A">
        <w:rPr>
          <w:color w:val="auto"/>
        </w:rPr>
        <w:t xml:space="preserve"> </w:t>
      </w:r>
    </w:p>
    <w:p w14:paraId="41A5994E" w14:textId="77777777" w:rsidR="001D1097" w:rsidRPr="00A8388A" w:rsidRDefault="001D1097">
      <w:pPr>
        <w:spacing w:after="160" w:line="259" w:lineRule="auto"/>
        <w:jc w:val="both"/>
        <w:rPr>
          <w:color w:val="auto"/>
        </w:rPr>
      </w:pPr>
    </w:p>
    <w:p w14:paraId="08F72E2A" w14:textId="490BDA34" w:rsidR="004479A8" w:rsidRPr="00A8388A" w:rsidRDefault="00E2653A">
      <w:pPr>
        <w:spacing w:after="160" w:line="259" w:lineRule="auto"/>
        <w:jc w:val="both"/>
        <w:rPr>
          <w:b/>
          <w:bCs/>
          <w:color w:val="auto"/>
        </w:rPr>
      </w:pPr>
      <w:r w:rsidRPr="00A8388A">
        <w:rPr>
          <w:b/>
          <w:bCs/>
          <w:color w:val="auto"/>
        </w:rPr>
        <w:t>Comment expliquer ce paradoxe ?</w:t>
      </w:r>
      <w:r w:rsidR="006E01FA" w:rsidRPr="00A8388A">
        <w:rPr>
          <w:b/>
          <w:bCs/>
          <w:color w:val="auto"/>
        </w:rPr>
        <w:t xml:space="preserve"> Y a-t-il un paradoxe français à l’égard du travail ?</w:t>
      </w:r>
    </w:p>
    <w:p w14:paraId="1C75FA57" w14:textId="095FCFCA" w:rsidR="001D1097" w:rsidRPr="00A8388A" w:rsidRDefault="001D1097">
      <w:pPr>
        <w:spacing w:after="160" w:line="259" w:lineRule="auto"/>
        <w:jc w:val="both"/>
        <w:rPr>
          <w:color w:val="auto"/>
        </w:rPr>
      </w:pPr>
    </w:p>
    <w:p w14:paraId="3BB331C7" w14:textId="4E412FA1" w:rsidR="008F7268" w:rsidRPr="00A8388A" w:rsidRDefault="008F7268">
      <w:pPr>
        <w:spacing w:after="160" w:line="259" w:lineRule="auto"/>
        <w:jc w:val="both"/>
        <w:rPr>
          <w:color w:val="auto"/>
        </w:rPr>
      </w:pPr>
      <w:r w:rsidRPr="00A8388A">
        <w:rPr>
          <w:color w:val="auto"/>
        </w:rPr>
        <w:t>Pour répondre à ce</w:t>
      </w:r>
      <w:r w:rsidR="006E01FA" w:rsidRPr="00A8388A">
        <w:rPr>
          <w:color w:val="auto"/>
        </w:rPr>
        <w:t>s</w:t>
      </w:r>
      <w:r w:rsidRPr="00A8388A">
        <w:rPr>
          <w:color w:val="auto"/>
        </w:rPr>
        <w:t xml:space="preserve"> question</w:t>
      </w:r>
      <w:r w:rsidR="006E01FA" w:rsidRPr="00A8388A">
        <w:rPr>
          <w:color w:val="auto"/>
        </w:rPr>
        <w:t>s</w:t>
      </w:r>
      <w:r w:rsidRPr="00A8388A">
        <w:rPr>
          <w:color w:val="auto"/>
        </w:rPr>
        <w:t>, P</w:t>
      </w:r>
      <w:r w:rsidR="00CD65EC" w:rsidRPr="00A8388A">
        <w:rPr>
          <w:color w:val="auto"/>
        </w:rPr>
        <w:t>.</w:t>
      </w:r>
      <w:r w:rsidRPr="00A8388A">
        <w:rPr>
          <w:color w:val="auto"/>
        </w:rPr>
        <w:t>M. Menger analyse le problème sous 4 angles :</w:t>
      </w:r>
    </w:p>
    <w:p w14:paraId="41681F3C" w14:textId="77777777" w:rsidR="004479A8" w:rsidRPr="00A8388A" w:rsidRDefault="00E2653A">
      <w:pPr>
        <w:pStyle w:val="Paragraphedeliste"/>
        <w:numPr>
          <w:ilvl w:val="0"/>
          <w:numId w:val="12"/>
        </w:numPr>
        <w:spacing w:after="160" w:line="259" w:lineRule="auto"/>
        <w:jc w:val="both"/>
        <w:rPr>
          <w:b/>
          <w:bCs/>
          <w:color w:val="auto"/>
        </w:rPr>
      </w:pPr>
      <w:r w:rsidRPr="00A8388A">
        <w:rPr>
          <w:b/>
          <w:bCs/>
          <w:color w:val="auto"/>
        </w:rPr>
        <w:t>Le temps de travail et la retraite</w:t>
      </w:r>
    </w:p>
    <w:p w14:paraId="52832307" w14:textId="77777777" w:rsidR="004479A8" w:rsidRPr="00A8388A" w:rsidRDefault="00E2653A">
      <w:pPr>
        <w:pStyle w:val="Paragraphedeliste"/>
        <w:numPr>
          <w:ilvl w:val="0"/>
          <w:numId w:val="12"/>
        </w:numPr>
        <w:spacing w:after="160" w:line="259" w:lineRule="auto"/>
        <w:jc w:val="both"/>
        <w:rPr>
          <w:b/>
          <w:bCs/>
          <w:color w:val="auto"/>
        </w:rPr>
      </w:pPr>
      <w:r w:rsidRPr="00A8388A">
        <w:rPr>
          <w:b/>
          <w:bCs/>
          <w:color w:val="auto"/>
        </w:rPr>
        <w:t>L’insatisfaction à l’égard du salaire</w:t>
      </w:r>
    </w:p>
    <w:p w14:paraId="0BE3A268" w14:textId="77777777" w:rsidR="004479A8" w:rsidRPr="00A8388A" w:rsidRDefault="00E2653A">
      <w:pPr>
        <w:pStyle w:val="Paragraphedeliste"/>
        <w:numPr>
          <w:ilvl w:val="0"/>
          <w:numId w:val="12"/>
        </w:numPr>
        <w:spacing w:after="160" w:line="259" w:lineRule="auto"/>
        <w:jc w:val="both"/>
        <w:rPr>
          <w:b/>
          <w:bCs/>
          <w:color w:val="auto"/>
        </w:rPr>
      </w:pPr>
      <w:r w:rsidRPr="00A8388A">
        <w:rPr>
          <w:b/>
          <w:bCs/>
          <w:color w:val="auto"/>
        </w:rPr>
        <w:t>La question du chômage</w:t>
      </w:r>
    </w:p>
    <w:p w14:paraId="69482F7E" w14:textId="143FF1C4" w:rsidR="004479A8" w:rsidRPr="00A8388A" w:rsidRDefault="008F7268">
      <w:pPr>
        <w:pStyle w:val="Paragraphedeliste"/>
        <w:numPr>
          <w:ilvl w:val="0"/>
          <w:numId w:val="12"/>
        </w:numPr>
        <w:spacing w:after="160" w:line="259" w:lineRule="auto"/>
        <w:jc w:val="both"/>
        <w:rPr>
          <w:b/>
          <w:bCs/>
          <w:color w:val="auto"/>
        </w:rPr>
      </w:pPr>
      <w:r w:rsidRPr="00A8388A">
        <w:rPr>
          <w:b/>
          <w:bCs/>
          <w:color w:val="auto"/>
        </w:rPr>
        <w:t xml:space="preserve">La défiance à l’égard du </w:t>
      </w:r>
      <w:r w:rsidR="00E2653A" w:rsidRPr="00A8388A">
        <w:rPr>
          <w:b/>
          <w:bCs/>
          <w:color w:val="auto"/>
        </w:rPr>
        <w:t>management</w:t>
      </w:r>
    </w:p>
    <w:p w14:paraId="1152DC1A" w14:textId="77777777" w:rsidR="004479A8" w:rsidRPr="00A8388A" w:rsidRDefault="004479A8">
      <w:pPr>
        <w:jc w:val="both"/>
        <w:rPr>
          <w:b/>
          <w:bCs/>
          <w:color w:val="auto"/>
        </w:rPr>
      </w:pPr>
    </w:p>
    <w:p w14:paraId="32D2976E" w14:textId="77777777" w:rsidR="00F4222F" w:rsidRPr="00A8388A" w:rsidRDefault="00F4222F">
      <w:pPr>
        <w:rPr>
          <w:b/>
          <w:bCs/>
          <w:color w:val="auto"/>
        </w:rPr>
      </w:pPr>
      <w:r w:rsidRPr="00A8388A">
        <w:rPr>
          <w:b/>
          <w:bCs/>
          <w:color w:val="auto"/>
        </w:rPr>
        <w:br w:type="page"/>
      </w:r>
    </w:p>
    <w:p w14:paraId="54082376" w14:textId="77777777" w:rsidR="004479A8" w:rsidRPr="00A8388A" w:rsidRDefault="00E2653A">
      <w:pPr>
        <w:jc w:val="both"/>
        <w:rPr>
          <w:b/>
          <w:bCs/>
          <w:color w:val="auto"/>
        </w:rPr>
      </w:pPr>
      <w:r w:rsidRPr="00A8388A">
        <w:rPr>
          <w:b/>
          <w:bCs/>
          <w:color w:val="auto"/>
        </w:rPr>
        <w:lastRenderedPageBreak/>
        <w:t>1/ Le temps de travail et la retraite</w:t>
      </w:r>
    </w:p>
    <w:p w14:paraId="5745512A" w14:textId="77777777" w:rsidR="004479A8" w:rsidRPr="00A8388A" w:rsidRDefault="00E2653A">
      <w:pPr>
        <w:jc w:val="both"/>
        <w:rPr>
          <w:b/>
          <w:bCs/>
          <w:color w:val="auto"/>
        </w:rPr>
      </w:pPr>
      <w:r w:rsidRPr="00A8388A">
        <w:rPr>
          <w:b/>
          <w:bCs/>
          <w:color w:val="auto"/>
        </w:rPr>
        <w:t>Quantité de travail</w:t>
      </w:r>
    </w:p>
    <w:p w14:paraId="0D0D2C18" w14:textId="17EC7B23" w:rsidR="00E50A41" w:rsidRDefault="00E2653A">
      <w:pPr>
        <w:spacing w:after="160" w:line="259" w:lineRule="auto"/>
        <w:jc w:val="both"/>
        <w:rPr>
          <w:color w:val="auto"/>
        </w:rPr>
      </w:pPr>
      <w:r w:rsidRPr="00A8388A">
        <w:rPr>
          <w:color w:val="auto"/>
        </w:rPr>
        <w:t xml:space="preserve">En France, on </w:t>
      </w:r>
      <w:r w:rsidR="00A7482F" w:rsidRPr="00A8388A">
        <w:rPr>
          <w:color w:val="auto"/>
        </w:rPr>
        <w:t xml:space="preserve">accorde de l’importance au </w:t>
      </w:r>
      <w:r w:rsidRPr="00A8388A">
        <w:rPr>
          <w:color w:val="auto"/>
        </w:rPr>
        <w:t>travail mais on aime bien aussi en avoir moins</w:t>
      </w:r>
      <w:r w:rsidR="00502570" w:rsidRPr="00A8388A">
        <w:rPr>
          <w:rStyle w:val="Appelnotedebasdep"/>
          <w:color w:val="auto"/>
        </w:rPr>
        <w:footnoteReference w:id="7"/>
      </w:r>
      <w:r w:rsidRPr="00A8388A">
        <w:rPr>
          <w:color w:val="auto"/>
        </w:rPr>
        <w:t xml:space="preserve">. La France est </w:t>
      </w:r>
      <w:r w:rsidR="00E55FBD" w:rsidRPr="00A8388A">
        <w:rPr>
          <w:color w:val="auto"/>
        </w:rPr>
        <w:t>un</w:t>
      </w:r>
      <w:r w:rsidRPr="00A8388A">
        <w:rPr>
          <w:color w:val="auto"/>
        </w:rPr>
        <w:t xml:space="preserve"> pays où la quantité de travail est faible pour les salariés </w:t>
      </w:r>
      <w:r w:rsidR="00E55FBD" w:rsidRPr="00A8388A">
        <w:rPr>
          <w:color w:val="auto"/>
        </w:rPr>
        <w:t xml:space="preserve">(durée annuelle effective à temps plein) comparativement aux autres </w:t>
      </w:r>
      <w:r w:rsidRPr="00A8388A">
        <w:rPr>
          <w:color w:val="auto"/>
        </w:rPr>
        <w:t xml:space="preserve">alors que les indépendants en France travaillent plus que dans les autres pays européens. </w:t>
      </w:r>
    </w:p>
    <w:p w14:paraId="663CA5FC" w14:textId="5C299212" w:rsidR="00A964E8" w:rsidRDefault="00A964E8">
      <w:pPr>
        <w:spacing w:after="160" w:line="259" w:lineRule="auto"/>
        <w:jc w:val="both"/>
        <w:rPr>
          <w:color w:val="auto"/>
        </w:rPr>
      </w:pPr>
      <w:r>
        <w:rPr>
          <w:color w:val="auto"/>
        </w:rPr>
        <w:t>Graphique ajouté par les rédactrices du compte-rendu :</w:t>
      </w:r>
    </w:p>
    <w:p w14:paraId="2899C25A" w14:textId="2C1CA85B" w:rsidR="00A964E8" w:rsidRDefault="00A964E8" w:rsidP="008D474A">
      <w:pPr>
        <w:spacing w:after="160" w:line="259" w:lineRule="auto"/>
        <w:jc w:val="center"/>
        <w:rPr>
          <w:color w:val="auto"/>
        </w:rPr>
      </w:pPr>
      <w:r>
        <w:rPr>
          <w:noProof/>
        </w:rPr>
        <w:drawing>
          <wp:inline distT="0" distB="0" distL="0" distR="0" wp14:anchorId="62736F9E" wp14:editId="55A4001C">
            <wp:extent cx="5337175" cy="341757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37175" cy="3417570"/>
                    </a:xfrm>
                    <a:prstGeom prst="rect">
                      <a:avLst/>
                    </a:prstGeom>
                  </pic:spPr>
                </pic:pic>
              </a:graphicData>
            </a:graphic>
          </wp:inline>
        </w:drawing>
      </w:r>
    </w:p>
    <w:p w14:paraId="691A9F4D" w14:textId="77777777" w:rsidR="00A964E8" w:rsidRPr="00CF0D4F" w:rsidRDefault="00A964E8" w:rsidP="00A964E8">
      <w:pPr>
        <w:spacing w:after="0" w:line="240" w:lineRule="auto"/>
        <w:jc w:val="right"/>
        <w:rPr>
          <w:rFonts w:eastAsia="Times New Roman" w:cs="Times New Roman"/>
          <w:sz w:val="18"/>
          <w:szCs w:val="18"/>
        </w:rPr>
      </w:pPr>
      <w:r>
        <w:rPr>
          <w:color w:val="auto"/>
        </w:rPr>
        <w:t xml:space="preserve">Source : INSEE, graphique publié sur le site </w:t>
      </w:r>
      <w:r w:rsidRPr="00A964E8">
        <w:rPr>
          <w:color w:val="auto"/>
        </w:rPr>
        <w:t>ses.ens-lyon.fr</w:t>
      </w:r>
      <w:r>
        <w:rPr>
          <w:color w:val="auto"/>
        </w:rPr>
        <w:t xml:space="preserve"> et disponible sur </w:t>
      </w:r>
      <w:hyperlink r:id="rId13" w:history="1">
        <w:r w:rsidRPr="00CF0D4F">
          <w:rPr>
            <w:rStyle w:val="Lienhypertexte"/>
            <w:rFonts w:eastAsia="Times New Roman" w:cs="Times New Roman"/>
            <w:sz w:val="18"/>
            <w:szCs w:val="18"/>
          </w:rPr>
          <w:t>http://ses.ens-lyon.fr/ressources/stats-a-la-une/levolution-de-la-duree-du-travail-en-france-depuis-1950</w:t>
        </w:r>
      </w:hyperlink>
    </w:p>
    <w:p w14:paraId="4EFCC33B" w14:textId="77777777" w:rsidR="00A964E8" w:rsidRPr="00A8388A" w:rsidRDefault="00A964E8">
      <w:pPr>
        <w:spacing w:after="160" w:line="259" w:lineRule="auto"/>
        <w:jc w:val="both"/>
        <w:rPr>
          <w:color w:val="auto"/>
        </w:rPr>
      </w:pPr>
    </w:p>
    <w:p w14:paraId="1947964C" w14:textId="76252C2E" w:rsidR="004479A8" w:rsidRPr="00A8388A" w:rsidRDefault="00502570">
      <w:pPr>
        <w:spacing w:after="160" w:line="259" w:lineRule="auto"/>
        <w:jc w:val="both"/>
        <w:rPr>
          <w:color w:val="auto"/>
        </w:rPr>
      </w:pPr>
      <w:r w:rsidRPr="00A8388A">
        <w:rPr>
          <w:color w:val="auto"/>
        </w:rPr>
        <w:t xml:space="preserve">On note </w:t>
      </w:r>
      <w:r w:rsidR="00E50A41" w:rsidRPr="00A8388A">
        <w:rPr>
          <w:color w:val="auto"/>
        </w:rPr>
        <w:t xml:space="preserve">également </w:t>
      </w:r>
      <w:r w:rsidRPr="00A8388A">
        <w:rPr>
          <w:color w:val="auto"/>
        </w:rPr>
        <w:t xml:space="preserve">des différences </w:t>
      </w:r>
      <w:r w:rsidR="00435721" w:rsidRPr="00A8388A">
        <w:rPr>
          <w:color w:val="auto"/>
        </w:rPr>
        <w:t>m</w:t>
      </w:r>
      <w:r w:rsidRPr="00A8388A">
        <w:rPr>
          <w:color w:val="auto"/>
        </w:rPr>
        <w:t xml:space="preserve">arquées </w:t>
      </w:r>
      <w:r w:rsidR="00E50A41" w:rsidRPr="00A8388A">
        <w:rPr>
          <w:color w:val="auto"/>
        </w:rPr>
        <w:t>en fonction des</w:t>
      </w:r>
      <w:r w:rsidRPr="00A8388A">
        <w:rPr>
          <w:color w:val="auto"/>
        </w:rPr>
        <w:t xml:space="preserve"> GSP</w:t>
      </w:r>
      <w:r w:rsidR="00E50A41" w:rsidRPr="00A8388A">
        <w:rPr>
          <w:color w:val="auto"/>
        </w:rPr>
        <w:t>. La qualité et la quantité de travail sont corrélées positivement c’est-à-dire que les emplois qualifiés et peu routiniers en France sont des emplois où l’on travaille beaucoup</w:t>
      </w:r>
      <w:r w:rsidR="00693EC1" w:rsidRPr="00A8388A">
        <w:rPr>
          <w:color w:val="auto"/>
        </w:rPr>
        <w:t xml:space="preserve"> </w:t>
      </w:r>
      <w:r w:rsidRPr="00A8388A">
        <w:rPr>
          <w:color w:val="auto"/>
        </w:rPr>
        <w:t>: les cadres travaill</w:t>
      </w:r>
      <w:r w:rsidR="00693EC1" w:rsidRPr="00A8388A">
        <w:rPr>
          <w:color w:val="auto"/>
        </w:rPr>
        <w:t>ai</w:t>
      </w:r>
      <w:r w:rsidRPr="00A8388A">
        <w:rPr>
          <w:color w:val="auto"/>
        </w:rPr>
        <w:t>ent en moyenne 1834</w:t>
      </w:r>
      <w:r w:rsidR="00693EC1" w:rsidRPr="00A8388A">
        <w:rPr>
          <w:color w:val="auto"/>
        </w:rPr>
        <w:t xml:space="preserve"> </w:t>
      </w:r>
      <w:r w:rsidRPr="00A8388A">
        <w:rPr>
          <w:color w:val="auto"/>
        </w:rPr>
        <w:t>h</w:t>
      </w:r>
      <w:r w:rsidR="00693EC1" w:rsidRPr="00A8388A">
        <w:rPr>
          <w:color w:val="auto"/>
        </w:rPr>
        <w:t>eures</w:t>
      </w:r>
      <w:r w:rsidRPr="00A8388A">
        <w:rPr>
          <w:color w:val="auto"/>
        </w:rPr>
        <w:t xml:space="preserve"> par an</w:t>
      </w:r>
      <w:r w:rsidR="00693EC1" w:rsidRPr="00A8388A">
        <w:rPr>
          <w:color w:val="auto"/>
        </w:rPr>
        <w:t xml:space="preserve"> en 2018 contre une moyenne de 1679 heures pour les salariés en général</w:t>
      </w:r>
      <w:r w:rsidRPr="00A8388A">
        <w:rPr>
          <w:color w:val="auto"/>
        </w:rPr>
        <w:t>.</w:t>
      </w:r>
      <w:r w:rsidRPr="00A8388A">
        <w:rPr>
          <w:rStyle w:val="Appelnotedebasdep"/>
          <w:color w:val="auto"/>
        </w:rPr>
        <w:footnoteReference w:id="8"/>
      </w:r>
    </w:p>
    <w:p w14:paraId="6A5D9382" w14:textId="63F1790B" w:rsidR="004479A8" w:rsidRDefault="00E2653A">
      <w:pPr>
        <w:spacing w:after="160" w:line="259" w:lineRule="auto"/>
        <w:jc w:val="both"/>
        <w:rPr>
          <w:color w:val="auto"/>
        </w:rPr>
      </w:pPr>
      <w:r w:rsidRPr="00A8388A">
        <w:rPr>
          <w:color w:val="auto"/>
        </w:rPr>
        <w:t>Aparté sur le temps partiel au</w:t>
      </w:r>
      <w:r w:rsidR="00F0511B">
        <w:rPr>
          <w:color w:val="auto"/>
        </w:rPr>
        <w:t>x</w:t>
      </w:r>
      <w:r w:rsidRPr="00A8388A">
        <w:rPr>
          <w:color w:val="auto"/>
        </w:rPr>
        <w:t xml:space="preserve"> Pays-Bas : le temps partiel est conçu comme une conquête sociale au</w:t>
      </w:r>
      <w:r w:rsidR="00F0511B">
        <w:rPr>
          <w:color w:val="auto"/>
        </w:rPr>
        <w:t>x</w:t>
      </w:r>
      <w:r w:rsidRPr="00A8388A">
        <w:rPr>
          <w:color w:val="auto"/>
        </w:rPr>
        <w:t xml:space="preserve"> Pays-Bas (contrairement à la Suède par exemple) et notamment pour les femmes. D’où un taux de partiel très élevé au</w:t>
      </w:r>
      <w:r w:rsidR="00F0511B">
        <w:rPr>
          <w:color w:val="auto"/>
        </w:rPr>
        <w:t>x</w:t>
      </w:r>
      <w:r w:rsidRPr="00A8388A">
        <w:rPr>
          <w:color w:val="auto"/>
        </w:rPr>
        <w:t xml:space="preserve"> Pays-Bas (5</w:t>
      </w:r>
      <w:r w:rsidR="004E0B31" w:rsidRPr="00A8388A">
        <w:rPr>
          <w:color w:val="auto"/>
        </w:rPr>
        <w:t>0</w:t>
      </w:r>
      <w:r w:rsidRPr="00A8388A">
        <w:rPr>
          <w:color w:val="auto"/>
        </w:rPr>
        <w:t>%</w:t>
      </w:r>
      <w:r w:rsidR="004E0B31" w:rsidRPr="00A8388A">
        <w:rPr>
          <w:color w:val="auto"/>
        </w:rPr>
        <w:t xml:space="preserve"> de la population active</w:t>
      </w:r>
      <w:r w:rsidRPr="00A8388A">
        <w:rPr>
          <w:color w:val="auto"/>
        </w:rPr>
        <w:t>).</w:t>
      </w:r>
      <w:r w:rsidR="00EF4788" w:rsidRPr="00A8388A">
        <w:rPr>
          <w:color w:val="auto"/>
        </w:rPr>
        <w:t xml:space="preserve"> Pour plus d’informations</w:t>
      </w:r>
      <w:r w:rsidR="00383EC0">
        <w:rPr>
          <w:color w:val="auto"/>
        </w:rPr>
        <w:t xml:space="preserve"> sur le sujet</w:t>
      </w:r>
      <w:r w:rsidR="00EF4788" w:rsidRPr="00A8388A">
        <w:rPr>
          <w:color w:val="auto"/>
        </w:rPr>
        <w:t>, consulter les cours enregistrés de P.M. Menger au Collège de France.</w:t>
      </w:r>
    </w:p>
    <w:p w14:paraId="63C6B308" w14:textId="77777777" w:rsidR="00383EC0" w:rsidRPr="00A8388A" w:rsidRDefault="00383EC0">
      <w:pPr>
        <w:spacing w:after="160" w:line="259" w:lineRule="auto"/>
        <w:jc w:val="both"/>
        <w:rPr>
          <w:color w:val="auto"/>
        </w:rPr>
      </w:pPr>
    </w:p>
    <w:p w14:paraId="22F0E162" w14:textId="77777777" w:rsidR="004479A8" w:rsidRPr="00A8388A" w:rsidRDefault="00E2653A">
      <w:pPr>
        <w:jc w:val="both"/>
        <w:rPr>
          <w:b/>
          <w:bCs/>
          <w:color w:val="auto"/>
        </w:rPr>
      </w:pPr>
      <w:r w:rsidRPr="00A8388A">
        <w:rPr>
          <w:b/>
          <w:bCs/>
          <w:color w:val="auto"/>
        </w:rPr>
        <w:lastRenderedPageBreak/>
        <w:t>Cycle de vie</w:t>
      </w:r>
    </w:p>
    <w:p w14:paraId="0E032972" w14:textId="553046B1" w:rsidR="004479A8" w:rsidRPr="00A8388A" w:rsidRDefault="00E2653A">
      <w:pPr>
        <w:jc w:val="both"/>
        <w:rPr>
          <w:color w:val="auto"/>
        </w:rPr>
      </w:pPr>
      <w:r w:rsidRPr="00A8388A">
        <w:rPr>
          <w:color w:val="auto"/>
        </w:rPr>
        <w:t xml:space="preserve">Les Français partent plus tôt du marché du travail que dans les autres pays de l’OCDE. Le taux d’emploi des 60 – 64 ans est très faible en </w:t>
      </w:r>
      <w:r w:rsidR="00795E57">
        <w:rPr>
          <w:color w:val="auto"/>
        </w:rPr>
        <w:t>France (29,4% en France contre 42,5% au sein de l’Union Européenne en 2017)</w:t>
      </w:r>
      <w:r w:rsidR="00795E57">
        <w:rPr>
          <w:rStyle w:val="Appelnotedebasdep"/>
          <w:color w:val="auto"/>
        </w:rPr>
        <w:footnoteReference w:id="9"/>
      </w:r>
      <w:r w:rsidRPr="00A8388A">
        <w:rPr>
          <w:color w:val="auto"/>
        </w:rPr>
        <w:t>. Les Français sont peu nombreux à penser qu’ils pourraient continuer leur travail actuel jusqu’à 60 an</w:t>
      </w:r>
      <w:r w:rsidR="00502570" w:rsidRPr="00A8388A">
        <w:rPr>
          <w:color w:val="auto"/>
        </w:rPr>
        <w:t>s cont</w:t>
      </w:r>
      <w:r w:rsidR="00472EE4" w:rsidRPr="00A8388A">
        <w:rPr>
          <w:color w:val="auto"/>
        </w:rPr>
        <w:t>rairement aux autres pays d'ap</w:t>
      </w:r>
      <w:r w:rsidR="00502570" w:rsidRPr="00A8388A">
        <w:rPr>
          <w:color w:val="auto"/>
        </w:rPr>
        <w:t>r</w:t>
      </w:r>
      <w:r w:rsidR="00472EE4" w:rsidRPr="00A8388A">
        <w:rPr>
          <w:color w:val="auto"/>
        </w:rPr>
        <w:t>è</w:t>
      </w:r>
      <w:r w:rsidR="00502570" w:rsidRPr="00A8388A">
        <w:rPr>
          <w:color w:val="auto"/>
        </w:rPr>
        <w:t>s l</w:t>
      </w:r>
      <w:r w:rsidR="00472EE4" w:rsidRPr="00A8388A">
        <w:rPr>
          <w:color w:val="auto"/>
        </w:rPr>
        <w:t>'</w:t>
      </w:r>
      <w:r w:rsidR="00172C72" w:rsidRPr="00A8388A">
        <w:rPr>
          <w:color w:val="auto"/>
        </w:rPr>
        <w:t>enquête E</w:t>
      </w:r>
      <w:r w:rsidR="00502570" w:rsidRPr="00A8388A">
        <w:rPr>
          <w:color w:val="auto"/>
        </w:rPr>
        <w:t>urof</w:t>
      </w:r>
      <w:r w:rsidR="00051144" w:rsidRPr="00A8388A">
        <w:rPr>
          <w:color w:val="auto"/>
        </w:rPr>
        <w:t>o</w:t>
      </w:r>
      <w:r w:rsidR="00502570" w:rsidRPr="00A8388A">
        <w:rPr>
          <w:color w:val="auto"/>
        </w:rPr>
        <w:t>u</w:t>
      </w:r>
      <w:r w:rsidR="00472EE4" w:rsidRPr="00A8388A">
        <w:rPr>
          <w:color w:val="auto"/>
        </w:rPr>
        <w:t>nd</w:t>
      </w:r>
      <w:r w:rsidR="00BE065E" w:rsidRPr="00A8388A">
        <w:rPr>
          <w:color w:val="auto"/>
        </w:rPr>
        <w:t xml:space="preserve"> sur les conditions de travail</w:t>
      </w:r>
      <w:r w:rsidR="00172C72" w:rsidRPr="00A8388A">
        <w:rPr>
          <w:rStyle w:val="Appelnotedebasdep"/>
          <w:color w:val="auto"/>
        </w:rPr>
        <w:footnoteReference w:id="10"/>
      </w:r>
      <w:r w:rsidR="00472EE4" w:rsidRPr="00A8388A">
        <w:rPr>
          <w:color w:val="auto"/>
        </w:rPr>
        <w:t>.</w:t>
      </w:r>
    </w:p>
    <w:p w14:paraId="2A59C0C6" w14:textId="1063F4A3" w:rsidR="004479A8" w:rsidRPr="00A8388A" w:rsidRDefault="00E2653A">
      <w:pPr>
        <w:jc w:val="both"/>
        <w:rPr>
          <w:color w:val="auto"/>
        </w:rPr>
      </w:pPr>
      <w:r w:rsidRPr="00A8388A">
        <w:rPr>
          <w:color w:val="auto"/>
        </w:rPr>
        <w:t>La relation des Français au travail est donc plus compliquée que l’on</w:t>
      </w:r>
      <w:r w:rsidR="00C811AA" w:rsidRPr="00A8388A">
        <w:rPr>
          <w:color w:val="auto"/>
        </w:rPr>
        <w:t xml:space="preserve"> </w:t>
      </w:r>
      <w:r w:rsidRPr="00A8388A">
        <w:rPr>
          <w:color w:val="auto"/>
        </w:rPr>
        <w:t>pourrait le penser.</w:t>
      </w:r>
    </w:p>
    <w:p w14:paraId="504534E9" w14:textId="77777777" w:rsidR="004479A8" w:rsidRPr="00A8388A" w:rsidRDefault="00E2653A">
      <w:pPr>
        <w:jc w:val="both"/>
        <w:rPr>
          <w:b/>
          <w:bCs/>
          <w:color w:val="auto"/>
        </w:rPr>
      </w:pPr>
      <w:r w:rsidRPr="00A8388A">
        <w:rPr>
          <w:b/>
          <w:bCs/>
          <w:color w:val="auto"/>
        </w:rPr>
        <w:t>Retraites</w:t>
      </w:r>
    </w:p>
    <w:p w14:paraId="2E0CB4A5" w14:textId="004C9125" w:rsidR="008E661B" w:rsidRPr="00A8388A" w:rsidRDefault="00E2653A">
      <w:pPr>
        <w:spacing w:after="160" w:line="259" w:lineRule="auto"/>
        <w:jc w:val="both"/>
        <w:rPr>
          <w:color w:val="auto"/>
        </w:rPr>
      </w:pPr>
      <w:r w:rsidRPr="00A8388A">
        <w:rPr>
          <w:color w:val="auto"/>
        </w:rPr>
        <w:t xml:space="preserve">Les dépenses publiques liées aux retraites sont </w:t>
      </w:r>
      <w:r w:rsidR="00BA4C80" w:rsidRPr="00A8388A">
        <w:rPr>
          <w:color w:val="auto"/>
        </w:rPr>
        <w:t xml:space="preserve">très </w:t>
      </w:r>
      <w:r w:rsidRPr="00A8388A">
        <w:rPr>
          <w:color w:val="auto"/>
        </w:rPr>
        <w:t xml:space="preserve">élevées en </w:t>
      </w:r>
      <w:r w:rsidR="00BA4C80" w:rsidRPr="00A8388A">
        <w:rPr>
          <w:color w:val="auto"/>
        </w:rPr>
        <w:t>France par rapport à la zone Euro hors France</w:t>
      </w:r>
      <w:r w:rsidRPr="00A8388A">
        <w:rPr>
          <w:color w:val="auto"/>
        </w:rPr>
        <w:t xml:space="preserve">. </w:t>
      </w:r>
      <w:r w:rsidR="00BA4C80" w:rsidRPr="00A8388A">
        <w:rPr>
          <w:color w:val="auto"/>
        </w:rPr>
        <w:t xml:space="preserve">Ainsi, dans le modèle français du </w:t>
      </w:r>
      <w:r w:rsidR="00277EAB" w:rsidRPr="00A8388A">
        <w:rPr>
          <w:color w:val="auto"/>
        </w:rPr>
        <w:t>W</w:t>
      </w:r>
      <w:r w:rsidR="00BA4C80" w:rsidRPr="00A8388A">
        <w:rPr>
          <w:color w:val="auto"/>
        </w:rPr>
        <w:t xml:space="preserve">elfarisme appliqué au travail, il y a une gestion particulière des âges et de la retraite. </w:t>
      </w:r>
      <w:r w:rsidR="008E661B" w:rsidRPr="00A8388A">
        <w:rPr>
          <w:color w:val="auto"/>
        </w:rPr>
        <w:t>Sur ce point, i</w:t>
      </w:r>
      <w:r w:rsidR="00BA4C80" w:rsidRPr="00A8388A">
        <w:rPr>
          <w:color w:val="auto"/>
        </w:rPr>
        <w:t>l n’y a pas d’ontologie sociale : on peut vivre très bien en travaillant plus dans certains pays mais sur des modèles de gestion des âges différents.</w:t>
      </w:r>
    </w:p>
    <w:p w14:paraId="5E305FF8" w14:textId="47BF9109" w:rsidR="008E661B" w:rsidRPr="00A8388A" w:rsidRDefault="008E661B">
      <w:pPr>
        <w:spacing w:after="160" w:line="259" w:lineRule="auto"/>
        <w:jc w:val="both"/>
        <w:rPr>
          <w:color w:val="auto"/>
        </w:rPr>
      </w:pPr>
      <w:r w:rsidRPr="00A8388A">
        <w:rPr>
          <w:color w:val="auto"/>
        </w:rPr>
        <w:t>Diagramme ajouté par les rédactrices du compte-rendu :</w:t>
      </w:r>
    </w:p>
    <w:p w14:paraId="72E28AA7" w14:textId="77777777" w:rsidR="008E661B" w:rsidRPr="00A8388A" w:rsidRDefault="008E661B" w:rsidP="008D474A">
      <w:pPr>
        <w:jc w:val="center"/>
        <w:rPr>
          <w:b/>
          <w:bCs/>
          <w:color w:val="auto"/>
        </w:rPr>
      </w:pPr>
      <w:r w:rsidRPr="00A8388A">
        <w:rPr>
          <w:noProof/>
          <w:color w:val="auto"/>
        </w:rPr>
        <w:drawing>
          <wp:inline distT="0" distB="0" distL="0" distR="0" wp14:anchorId="78D443A8" wp14:editId="35530FFF">
            <wp:extent cx="5337175" cy="3220085"/>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37175" cy="3220085"/>
                    </a:xfrm>
                    <a:prstGeom prst="rect">
                      <a:avLst/>
                    </a:prstGeom>
                  </pic:spPr>
                </pic:pic>
              </a:graphicData>
            </a:graphic>
          </wp:inline>
        </w:drawing>
      </w:r>
    </w:p>
    <w:p w14:paraId="1CFE3B26" w14:textId="729295D4" w:rsidR="008E661B" w:rsidRPr="00A8388A" w:rsidRDefault="008E661B" w:rsidP="0092583E">
      <w:pPr>
        <w:ind w:left="360"/>
        <w:jc w:val="right"/>
        <w:rPr>
          <w:color w:val="auto"/>
        </w:rPr>
      </w:pPr>
      <w:r w:rsidRPr="00A8388A">
        <w:rPr>
          <w:color w:val="auto"/>
        </w:rPr>
        <w:t xml:space="preserve">Source : OCDE, données statistiques. Disponible sur : </w:t>
      </w:r>
      <w:hyperlink r:id="rId15" w:history="1">
        <w:r w:rsidRPr="00A8388A">
          <w:rPr>
            <w:color w:val="auto"/>
          </w:rPr>
          <w:t>https://data.oecd.org/fr/socialexp/depenses-de-retraite.htm</w:t>
        </w:r>
      </w:hyperlink>
    </w:p>
    <w:p w14:paraId="4BE33560" w14:textId="77777777" w:rsidR="008E661B" w:rsidRPr="00A8388A" w:rsidRDefault="008E661B" w:rsidP="008E661B">
      <w:pPr>
        <w:rPr>
          <w:b/>
          <w:bCs/>
          <w:color w:val="auto"/>
        </w:rPr>
      </w:pPr>
    </w:p>
    <w:p w14:paraId="5D5602D3" w14:textId="18FAC0E4" w:rsidR="00F4222F" w:rsidRPr="00A8388A" w:rsidRDefault="00F4222F">
      <w:pPr>
        <w:rPr>
          <w:b/>
          <w:bCs/>
          <w:color w:val="auto"/>
        </w:rPr>
      </w:pPr>
    </w:p>
    <w:p w14:paraId="47B73D95" w14:textId="77777777" w:rsidR="004479A8" w:rsidRPr="00A8388A" w:rsidRDefault="00E2653A">
      <w:pPr>
        <w:jc w:val="both"/>
        <w:rPr>
          <w:b/>
          <w:bCs/>
          <w:color w:val="auto"/>
        </w:rPr>
      </w:pPr>
      <w:r w:rsidRPr="00A8388A">
        <w:rPr>
          <w:b/>
          <w:bCs/>
          <w:color w:val="auto"/>
        </w:rPr>
        <w:lastRenderedPageBreak/>
        <w:t>2/ L’insatisfaction à l’égard du salaire</w:t>
      </w:r>
    </w:p>
    <w:p w14:paraId="5BC24A4E" w14:textId="5FD64653" w:rsidR="004479A8" w:rsidRPr="00A8388A" w:rsidRDefault="00E2653A">
      <w:pPr>
        <w:jc w:val="both"/>
        <w:rPr>
          <w:color w:val="auto"/>
        </w:rPr>
      </w:pPr>
      <w:r w:rsidRPr="00A8388A">
        <w:rPr>
          <w:color w:val="auto"/>
        </w:rPr>
        <w:t>Le modèle welfariste français comprime les salaires : on constate de fortes inégalités de salaire avant redistribution et de faibles inégalités de salaires après redistribution. La France bénéficie donc d’une forte intensité redistributive mais il y a malgré tout une insatisfaction à l’égard du salaire en France.</w:t>
      </w:r>
    </w:p>
    <w:p w14:paraId="47A96F9F" w14:textId="54836401" w:rsidR="004479A8" w:rsidRPr="00A8388A" w:rsidRDefault="00E2653A">
      <w:pPr>
        <w:jc w:val="both"/>
        <w:rPr>
          <w:color w:val="auto"/>
        </w:rPr>
      </w:pPr>
      <w:r w:rsidRPr="00A8388A">
        <w:rPr>
          <w:color w:val="auto"/>
        </w:rPr>
        <w:t>D’après l’INSEE</w:t>
      </w:r>
      <w:r w:rsidR="00E602D9" w:rsidRPr="00A8388A">
        <w:rPr>
          <w:rStyle w:val="Appelnotedebasdep"/>
          <w:color w:val="auto"/>
        </w:rPr>
        <w:footnoteReference w:id="11"/>
      </w:r>
      <w:r w:rsidR="008D1278" w:rsidRPr="00A8388A">
        <w:rPr>
          <w:color w:val="auto"/>
        </w:rPr>
        <w:t xml:space="preserve">, </w:t>
      </w:r>
      <w:r w:rsidRPr="00A8388A">
        <w:rPr>
          <w:color w:val="auto"/>
        </w:rPr>
        <w:t xml:space="preserve">en 2009, 55% des Français ne sont pas satisfaits de leurs salaires et estiment que leurs salaires devraient être augmentés de 330 euros par mois en moyenne pour atteindre un niveau satisfaisant. Selon l’IFOP, </w:t>
      </w:r>
      <w:r w:rsidR="0005699A" w:rsidRPr="00A8388A">
        <w:rPr>
          <w:color w:val="auto"/>
        </w:rPr>
        <w:t xml:space="preserve">d’après un sondage réalisé </w:t>
      </w:r>
      <w:r w:rsidRPr="00A8388A">
        <w:rPr>
          <w:color w:val="auto"/>
        </w:rPr>
        <w:t xml:space="preserve">en </w:t>
      </w:r>
      <w:r w:rsidR="00503C57" w:rsidRPr="00A8388A">
        <w:rPr>
          <w:color w:val="auto"/>
        </w:rPr>
        <w:t xml:space="preserve">avril </w:t>
      </w:r>
      <w:r w:rsidRPr="00A8388A">
        <w:rPr>
          <w:color w:val="auto"/>
        </w:rPr>
        <w:t xml:space="preserve">2019, 55% des Français ne sont pas satisfaits de leurs salaires </w:t>
      </w:r>
      <w:r w:rsidR="007500AA" w:rsidRPr="00A8388A">
        <w:rPr>
          <w:color w:val="auto"/>
        </w:rPr>
        <w:t xml:space="preserve">à nouveau </w:t>
      </w:r>
      <w:r w:rsidRPr="00A8388A">
        <w:rPr>
          <w:color w:val="auto"/>
        </w:rPr>
        <w:t>mais, cette fois, la hausse attendue est de 5</w:t>
      </w:r>
      <w:r w:rsidR="008A60BB" w:rsidRPr="00A8388A">
        <w:rPr>
          <w:color w:val="auto"/>
        </w:rPr>
        <w:t>19</w:t>
      </w:r>
      <w:r w:rsidRPr="00A8388A">
        <w:rPr>
          <w:color w:val="auto"/>
        </w:rPr>
        <w:t xml:space="preserve"> euros par</w:t>
      </w:r>
      <w:r w:rsidR="00172C72" w:rsidRPr="00A8388A">
        <w:rPr>
          <w:color w:val="auto"/>
        </w:rPr>
        <w:t xml:space="preserve"> mois en moyenne. D’après Eurof</w:t>
      </w:r>
      <w:r w:rsidR="00BA629C" w:rsidRPr="00A8388A">
        <w:rPr>
          <w:color w:val="auto"/>
        </w:rPr>
        <w:t>o</w:t>
      </w:r>
      <w:r w:rsidRPr="00A8388A">
        <w:rPr>
          <w:color w:val="auto"/>
        </w:rPr>
        <w:t>und</w:t>
      </w:r>
      <w:r w:rsidR="009B1B72" w:rsidRPr="00A8388A">
        <w:rPr>
          <w:rStyle w:val="Appelnotedebasdep"/>
          <w:color w:val="auto"/>
        </w:rPr>
        <w:footnoteReference w:id="12"/>
      </w:r>
      <w:r w:rsidRPr="00A8388A">
        <w:rPr>
          <w:color w:val="auto"/>
        </w:rPr>
        <w:t xml:space="preserve">, les Français sont plutôt en désaccord avec l’idée d’être bien payés pour le travail fourni. </w:t>
      </w:r>
    </w:p>
    <w:p w14:paraId="4A2C0612" w14:textId="232AB316" w:rsidR="00DA3443" w:rsidRPr="00A8388A" w:rsidRDefault="00E2653A">
      <w:pPr>
        <w:jc w:val="both"/>
        <w:rPr>
          <w:color w:val="auto"/>
        </w:rPr>
      </w:pPr>
      <w:r w:rsidRPr="00A8388A">
        <w:rPr>
          <w:color w:val="auto"/>
        </w:rPr>
        <w:t xml:space="preserve">Le modèle français </w:t>
      </w:r>
      <w:r w:rsidR="000F2270" w:rsidRPr="00A8388A">
        <w:rPr>
          <w:color w:val="auto"/>
        </w:rPr>
        <w:t xml:space="preserve">du welfarisme </w:t>
      </w:r>
      <w:r w:rsidRPr="00A8388A">
        <w:rPr>
          <w:color w:val="auto"/>
        </w:rPr>
        <w:t>a été construit sur le rejet du working</w:t>
      </w:r>
      <w:r w:rsidR="00EC7435" w:rsidRPr="00A8388A">
        <w:rPr>
          <w:color w:val="auto"/>
        </w:rPr>
        <w:t xml:space="preserve"> </w:t>
      </w:r>
      <w:r w:rsidRPr="00A8388A">
        <w:rPr>
          <w:color w:val="auto"/>
        </w:rPr>
        <w:t xml:space="preserve">poor. Le système redistributif français redistribue donc beaucoup et garantit un salaire minimum élevé. Cela permet d’avoir un taux de pauvreté faible (13% à 60% du revenu médian). Le niveau élevé du salaire minimum s’explique par le fait qu’on ne veut pas de pauvreté en France. Le salaire minimum en France augmente d’ailleurs plus vite que l’inflation. </w:t>
      </w:r>
    </w:p>
    <w:p w14:paraId="38250B7D" w14:textId="699FBF54" w:rsidR="00523F6E" w:rsidRPr="00A8388A" w:rsidRDefault="00523F6E" w:rsidP="008D474A">
      <w:pPr>
        <w:jc w:val="center"/>
        <w:rPr>
          <w:color w:val="auto"/>
        </w:rPr>
      </w:pPr>
      <w:r w:rsidRPr="00A8388A">
        <w:rPr>
          <w:noProof/>
          <w:color w:val="auto"/>
        </w:rPr>
        <w:drawing>
          <wp:inline distT="0" distB="0" distL="0" distR="0" wp14:anchorId="1C6A6F50" wp14:editId="7CA5399A">
            <wp:extent cx="5337175" cy="2296795"/>
            <wp:effectExtent l="0" t="0" r="0" b="825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7175" cy="2296795"/>
                    </a:xfrm>
                    <a:prstGeom prst="rect">
                      <a:avLst/>
                    </a:prstGeom>
                  </pic:spPr>
                </pic:pic>
              </a:graphicData>
            </a:graphic>
          </wp:inline>
        </w:drawing>
      </w:r>
    </w:p>
    <w:p w14:paraId="307BF96B" w14:textId="08DAA34F" w:rsidR="00523F6E" w:rsidRPr="00A8388A" w:rsidRDefault="00523F6E" w:rsidP="008D474A">
      <w:pPr>
        <w:jc w:val="center"/>
        <w:rPr>
          <w:color w:val="auto"/>
        </w:rPr>
      </w:pPr>
      <w:r w:rsidRPr="00A8388A">
        <w:rPr>
          <w:noProof/>
          <w:color w:val="auto"/>
        </w:rPr>
        <w:drawing>
          <wp:inline distT="0" distB="0" distL="0" distR="0" wp14:anchorId="12FB3B7E" wp14:editId="5C677AB0">
            <wp:extent cx="5337175" cy="223583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37175" cy="2235835"/>
                    </a:xfrm>
                    <a:prstGeom prst="rect">
                      <a:avLst/>
                    </a:prstGeom>
                  </pic:spPr>
                </pic:pic>
              </a:graphicData>
            </a:graphic>
          </wp:inline>
        </w:drawing>
      </w:r>
    </w:p>
    <w:p w14:paraId="46B7BA5B" w14:textId="2C28F8B2" w:rsidR="00523F6E" w:rsidRPr="00A8388A" w:rsidRDefault="00523F6E">
      <w:pPr>
        <w:jc w:val="both"/>
        <w:rPr>
          <w:color w:val="auto"/>
        </w:rPr>
      </w:pPr>
      <w:r w:rsidRPr="00A8388A">
        <w:rPr>
          <w:noProof/>
          <w:color w:val="auto"/>
        </w:rPr>
        <w:lastRenderedPageBreak/>
        <w:drawing>
          <wp:inline distT="0" distB="0" distL="0" distR="0" wp14:anchorId="46BD9A79" wp14:editId="03F369A8">
            <wp:extent cx="5337175" cy="147193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7175" cy="1471930"/>
                    </a:xfrm>
                    <a:prstGeom prst="rect">
                      <a:avLst/>
                    </a:prstGeom>
                  </pic:spPr>
                </pic:pic>
              </a:graphicData>
            </a:graphic>
          </wp:inline>
        </w:drawing>
      </w:r>
    </w:p>
    <w:p w14:paraId="11883D39" w14:textId="74DD1409" w:rsidR="00523F6E" w:rsidRPr="00A8388A" w:rsidRDefault="00523F6E" w:rsidP="00523F6E">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P.100. DOI : </w:t>
      </w:r>
      <w:hyperlink r:id="rId19" w:history="1">
        <w:r w:rsidRPr="00A8388A">
          <w:rPr>
            <w:color w:val="auto"/>
          </w:rPr>
          <w:t>https://doi.org/10.1787/10f0135f-fr</w:t>
        </w:r>
      </w:hyperlink>
      <w:r w:rsidRPr="00A8388A">
        <w:rPr>
          <w:color w:val="auto"/>
        </w:rPr>
        <w:t xml:space="preserve">. </w:t>
      </w:r>
    </w:p>
    <w:p w14:paraId="3AD99404" w14:textId="77777777" w:rsidR="00523F6E" w:rsidRPr="00A8388A" w:rsidRDefault="00523F6E">
      <w:pPr>
        <w:jc w:val="both"/>
        <w:rPr>
          <w:color w:val="auto"/>
        </w:rPr>
      </w:pPr>
    </w:p>
    <w:p w14:paraId="71C386D5" w14:textId="03F855D2" w:rsidR="0092583E" w:rsidRPr="00A8388A" w:rsidRDefault="0092583E">
      <w:pPr>
        <w:jc w:val="both"/>
        <w:rPr>
          <w:color w:val="auto"/>
        </w:rPr>
      </w:pPr>
      <w:r w:rsidRPr="00A8388A">
        <w:rPr>
          <w:color w:val="auto"/>
        </w:rPr>
        <w:t>Graphique ajouté par les rédactrices du compte-rendu :</w:t>
      </w:r>
    </w:p>
    <w:p w14:paraId="15F1BC2E" w14:textId="6900F9E1" w:rsidR="00DA3443" w:rsidRPr="00A8388A" w:rsidRDefault="0092583E" w:rsidP="008D474A">
      <w:pPr>
        <w:jc w:val="center"/>
        <w:rPr>
          <w:color w:val="auto"/>
        </w:rPr>
      </w:pPr>
      <w:r w:rsidRPr="00A8388A">
        <w:rPr>
          <w:noProof/>
          <w:color w:val="auto"/>
        </w:rPr>
        <w:drawing>
          <wp:inline distT="0" distB="0" distL="0" distR="0" wp14:anchorId="1FFFCDAD" wp14:editId="4B176BB3">
            <wp:extent cx="5337175" cy="2145665"/>
            <wp:effectExtent l="0" t="0" r="0" b="698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7175" cy="2145665"/>
                    </a:xfrm>
                    <a:prstGeom prst="rect">
                      <a:avLst/>
                    </a:prstGeom>
                  </pic:spPr>
                </pic:pic>
              </a:graphicData>
            </a:graphic>
          </wp:inline>
        </w:drawing>
      </w:r>
    </w:p>
    <w:p w14:paraId="657F2D77" w14:textId="149EDADD" w:rsidR="0092583E" w:rsidRDefault="0092583E" w:rsidP="00401703">
      <w:pPr>
        <w:ind w:left="360"/>
        <w:jc w:val="right"/>
        <w:rPr>
          <w:color w:val="auto"/>
        </w:rPr>
      </w:pPr>
      <w:r w:rsidRPr="00A8388A">
        <w:rPr>
          <w:color w:val="auto"/>
        </w:rPr>
        <w:t xml:space="preserve">Source : INSEE, Fiches – Revenus et coûts du travail – Emploi, chômage, revenus du travail, </w:t>
      </w:r>
      <w:r w:rsidRPr="007C01A5">
        <w:rPr>
          <w:i/>
          <w:iCs/>
          <w:color w:val="auto"/>
        </w:rPr>
        <w:t>Insee Références</w:t>
      </w:r>
      <w:r w:rsidRPr="00A8388A">
        <w:rPr>
          <w:color w:val="auto"/>
        </w:rPr>
        <w:t>, Édition 2019</w:t>
      </w:r>
      <w:r w:rsidRPr="00A8388A">
        <w:rPr>
          <w:rStyle w:val="Appelnotedebasdep"/>
          <w:color w:val="auto"/>
        </w:rPr>
        <w:footnoteReference w:id="13"/>
      </w:r>
    </w:p>
    <w:p w14:paraId="2D3F0171" w14:textId="77777777" w:rsidR="008704D7" w:rsidRPr="00A8388A" w:rsidRDefault="008704D7" w:rsidP="00401703">
      <w:pPr>
        <w:ind w:left="360"/>
        <w:jc w:val="right"/>
        <w:rPr>
          <w:color w:val="auto"/>
        </w:rPr>
      </w:pPr>
    </w:p>
    <w:p w14:paraId="75CCE9CE" w14:textId="0E37C03F" w:rsidR="004479A8" w:rsidRPr="00A8388A" w:rsidRDefault="008704D7">
      <w:pPr>
        <w:jc w:val="both"/>
        <w:rPr>
          <w:color w:val="auto"/>
        </w:rPr>
      </w:pPr>
      <w:r>
        <w:rPr>
          <w:color w:val="auto"/>
        </w:rPr>
        <w:t>On</w:t>
      </w:r>
      <w:r w:rsidR="00E2653A" w:rsidRPr="00A8388A">
        <w:rPr>
          <w:color w:val="auto"/>
        </w:rPr>
        <w:t xml:space="preserve"> a</w:t>
      </w:r>
      <w:r>
        <w:rPr>
          <w:color w:val="auto"/>
        </w:rPr>
        <w:t xml:space="preserve"> donc</w:t>
      </w:r>
      <w:r w:rsidR="00E2653A" w:rsidRPr="00A8388A">
        <w:rPr>
          <w:color w:val="auto"/>
        </w:rPr>
        <w:t xml:space="preserve"> fait le choix, en France, de comprimer les revenus en permettant aux revenus les plus bas d’augmenter et en baissant les revenus les plus élevés après redistribution.</w:t>
      </w:r>
    </w:p>
    <w:p w14:paraId="329155D5" w14:textId="59729AF7" w:rsidR="000C3F7A" w:rsidRDefault="00E2653A">
      <w:pPr>
        <w:jc w:val="both"/>
        <w:rPr>
          <w:color w:val="auto"/>
        </w:rPr>
      </w:pPr>
      <w:r w:rsidRPr="00A8388A">
        <w:rPr>
          <w:color w:val="auto"/>
        </w:rPr>
        <w:t xml:space="preserve">Cependant, </w:t>
      </w:r>
      <w:r w:rsidR="00835D97" w:rsidRPr="00A8388A">
        <w:rPr>
          <w:color w:val="auto"/>
        </w:rPr>
        <w:t>ce working poor model</w:t>
      </w:r>
      <w:r w:rsidR="0064046D" w:rsidRPr="00A8388A">
        <w:rPr>
          <w:color w:val="auto"/>
        </w:rPr>
        <w:t>,</w:t>
      </w:r>
      <w:r w:rsidR="00835D97" w:rsidRPr="00A8388A">
        <w:rPr>
          <w:color w:val="auto"/>
        </w:rPr>
        <w:t xml:space="preserve"> dont nous ne voulons pas</w:t>
      </w:r>
      <w:r w:rsidR="0064046D" w:rsidRPr="00A8388A">
        <w:rPr>
          <w:color w:val="auto"/>
        </w:rPr>
        <w:t>,</w:t>
      </w:r>
      <w:r w:rsidR="00835D97" w:rsidRPr="00A8388A">
        <w:rPr>
          <w:color w:val="auto"/>
        </w:rPr>
        <w:t xml:space="preserve"> peut s’implanter si la polarisation du marché du travail suscite une inégalité structurelle croissante. </w:t>
      </w:r>
      <w:r w:rsidR="0064046D" w:rsidRPr="00A8388A">
        <w:rPr>
          <w:color w:val="auto"/>
        </w:rPr>
        <w:t>Cela se traduit par le fait que l’o</w:t>
      </w:r>
      <w:r w:rsidRPr="00A8388A">
        <w:rPr>
          <w:color w:val="auto"/>
        </w:rPr>
        <w:t xml:space="preserve">n substitue des emplois </w:t>
      </w:r>
      <w:r w:rsidR="001A658F" w:rsidRPr="00A8388A">
        <w:rPr>
          <w:color w:val="auto"/>
        </w:rPr>
        <w:t>à productivité faiblement croissante</w:t>
      </w:r>
      <w:r w:rsidRPr="00A8388A">
        <w:rPr>
          <w:color w:val="auto"/>
        </w:rPr>
        <w:t xml:space="preserve"> et mal payés car peu qualifiés dans les services aux emplois industriels et manufacturiers mieux rémunérés</w:t>
      </w:r>
      <w:r w:rsidR="000C3F7A" w:rsidRPr="00A8388A">
        <w:rPr>
          <w:color w:val="auto"/>
        </w:rPr>
        <w:t>.</w:t>
      </w:r>
      <w:r w:rsidR="009879DB" w:rsidRPr="00A8388A">
        <w:rPr>
          <w:color w:val="auto"/>
        </w:rPr>
        <w:t xml:space="preserve"> Cela a pour conséquence de faire baisser le salaire moyen. La France rencontre donc un problème de recomposition des emplois.</w:t>
      </w:r>
    </w:p>
    <w:p w14:paraId="1CAFDEC8" w14:textId="22026B76" w:rsidR="003F0758" w:rsidRDefault="003F0758">
      <w:pPr>
        <w:jc w:val="both"/>
        <w:rPr>
          <w:color w:val="auto"/>
        </w:rPr>
      </w:pPr>
    </w:p>
    <w:p w14:paraId="51E1484F" w14:textId="4A9FF29D" w:rsidR="003F0758" w:rsidRDefault="003F0758">
      <w:pPr>
        <w:jc w:val="both"/>
        <w:rPr>
          <w:color w:val="auto"/>
        </w:rPr>
      </w:pPr>
    </w:p>
    <w:p w14:paraId="752B4ACC" w14:textId="77777777" w:rsidR="003F0758" w:rsidRPr="00A8388A" w:rsidRDefault="003F0758">
      <w:pPr>
        <w:jc w:val="both"/>
        <w:rPr>
          <w:color w:val="auto"/>
        </w:rPr>
      </w:pPr>
    </w:p>
    <w:p w14:paraId="51326D69" w14:textId="2E346D75" w:rsidR="001A4503" w:rsidRPr="00A8388A" w:rsidRDefault="000C3F7A">
      <w:pPr>
        <w:jc w:val="both"/>
        <w:rPr>
          <w:color w:val="auto"/>
        </w:rPr>
      </w:pPr>
      <w:r w:rsidRPr="00A8388A">
        <w:rPr>
          <w:color w:val="auto"/>
        </w:rPr>
        <w:lastRenderedPageBreak/>
        <w:t>Graphique ajouté par les rédactrices du compte-rendu :</w:t>
      </w:r>
      <w:r w:rsidR="00E228B4" w:rsidRPr="00A8388A">
        <w:rPr>
          <w:color w:val="auto"/>
        </w:rPr>
        <w:t xml:space="preserve"> </w:t>
      </w:r>
    </w:p>
    <w:p w14:paraId="169C2C70" w14:textId="02701882" w:rsidR="001A4503" w:rsidRPr="00A8388A" w:rsidRDefault="000C3F7A" w:rsidP="004B5E17">
      <w:pPr>
        <w:jc w:val="center"/>
        <w:rPr>
          <w:color w:val="auto"/>
        </w:rPr>
      </w:pPr>
      <w:r w:rsidRPr="00A8388A">
        <w:rPr>
          <w:noProof/>
          <w:color w:val="auto"/>
        </w:rPr>
        <w:drawing>
          <wp:inline distT="0" distB="0" distL="0" distR="0" wp14:anchorId="2168E5E1" wp14:editId="1F05D469">
            <wp:extent cx="5337175" cy="4328795"/>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37175" cy="4328795"/>
                    </a:xfrm>
                    <a:prstGeom prst="rect">
                      <a:avLst/>
                    </a:prstGeom>
                  </pic:spPr>
                </pic:pic>
              </a:graphicData>
            </a:graphic>
          </wp:inline>
        </w:drawing>
      </w:r>
    </w:p>
    <w:p w14:paraId="00618F9F" w14:textId="77777777" w:rsidR="001A4503" w:rsidRPr="00A8388A" w:rsidRDefault="004B5E17" w:rsidP="000C3F7A">
      <w:pPr>
        <w:jc w:val="right"/>
        <w:rPr>
          <w:color w:val="auto"/>
        </w:rPr>
      </w:pPr>
      <w:r w:rsidRPr="00A8388A">
        <w:rPr>
          <w:color w:val="auto"/>
        </w:rPr>
        <w:t xml:space="preserve">Source : Patrick ARTUS, « La France ne s’est pas adaptée à la globalisation : faut-il alors qu’elle s’adapte à la globalisation (le choix néo-libéral) ou qu’elle sorte de la globalisation ? », </w:t>
      </w:r>
      <w:r w:rsidRPr="00A8388A">
        <w:rPr>
          <w:color w:val="auto"/>
          <w:u w:val="single"/>
        </w:rPr>
        <w:t>Flash Economie</w:t>
      </w:r>
      <w:r w:rsidRPr="00A8388A">
        <w:rPr>
          <w:color w:val="auto"/>
        </w:rPr>
        <w:t>, 8 juillet 2019 903, p2</w:t>
      </w:r>
    </w:p>
    <w:p w14:paraId="65805FA1" w14:textId="77777777" w:rsidR="004479A8" w:rsidRPr="00A8388A" w:rsidRDefault="004479A8">
      <w:pPr>
        <w:jc w:val="both"/>
        <w:rPr>
          <w:color w:val="auto"/>
        </w:rPr>
      </w:pPr>
    </w:p>
    <w:p w14:paraId="08E18247" w14:textId="77777777" w:rsidR="00F4222F" w:rsidRPr="00A8388A" w:rsidRDefault="00F4222F">
      <w:pPr>
        <w:rPr>
          <w:b/>
          <w:bCs/>
          <w:color w:val="auto"/>
        </w:rPr>
      </w:pPr>
      <w:r w:rsidRPr="00A8388A">
        <w:rPr>
          <w:b/>
          <w:bCs/>
          <w:color w:val="auto"/>
        </w:rPr>
        <w:br w:type="page"/>
      </w:r>
    </w:p>
    <w:p w14:paraId="4E4F88A7" w14:textId="77777777" w:rsidR="004479A8" w:rsidRPr="00A8388A" w:rsidRDefault="00E2653A">
      <w:pPr>
        <w:jc w:val="both"/>
        <w:rPr>
          <w:b/>
          <w:bCs/>
          <w:color w:val="auto"/>
        </w:rPr>
      </w:pPr>
      <w:r w:rsidRPr="00A8388A">
        <w:rPr>
          <w:b/>
          <w:bCs/>
          <w:color w:val="auto"/>
        </w:rPr>
        <w:lastRenderedPageBreak/>
        <w:t>3/ La question du chômage</w:t>
      </w:r>
    </w:p>
    <w:p w14:paraId="1611622C" w14:textId="018BB46E" w:rsidR="005252EF" w:rsidRPr="00A8388A" w:rsidRDefault="005252EF">
      <w:pPr>
        <w:jc w:val="both"/>
        <w:rPr>
          <w:color w:val="auto"/>
        </w:rPr>
      </w:pPr>
      <w:r w:rsidRPr="00A8388A">
        <w:rPr>
          <w:color w:val="auto"/>
        </w:rPr>
        <w:t xml:space="preserve">On peut </w:t>
      </w:r>
      <w:r w:rsidR="00246D3D">
        <w:rPr>
          <w:color w:val="auto"/>
        </w:rPr>
        <w:t xml:space="preserve">dès lors </w:t>
      </w:r>
      <w:r w:rsidRPr="00A8388A">
        <w:rPr>
          <w:color w:val="auto"/>
        </w:rPr>
        <w:t xml:space="preserve">se demander si on s’en sortirait mieux </w:t>
      </w:r>
      <w:r w:rsidR="006D75BF">
        <w:rPr>
          <w:color w:val="auto"/>
        </w:rPr>
        <w:t>avec un</w:t>
      </w:r>
      <w:r w:rsidRPr="00A8388A">
        <w:rPr>
          <w:color w:val="auto"/>
        </w:rPr>
        <w:t xml:space="preserve"> taux d’emploi plus élevé. </w:t>
      </w:r>
      <w:r w:rsidR="004124E8" w:rsidRPr="00A8388A">
        <w:rPr>
          <w:color w:val="auto"/>
        </w:rPr>
        <w:t>Est-ce que</w:t>
      </w:r>
      <w:r w:rsidR="004A3F45">
        <w:rPr>
          <w:color w:val="auto"/>
        </w:rPr>
        <w:t>,</w:t>
      </w:r>
      <w:r w:rsidR="004124E8" w:rsidRPr="00A8388A">
        <w:rPr>
          <w:color w:val="auto"/>
        </w:rPr>
        <w:t xml:space="preserve"> si on élève le taux d’emploi, cela permettrait d’améliorer notre modèle ?</w:t>
      </w:r>
    </w:p>
    <w:p w14:paraId="68A85E68" w14:textId="77777777" w:rsidR="00F905D4" w:rsidRDefault="00735159">
      <w:pPr>
        <w:jc w:val="both"/>
        <w:rPr>
          <w:color w:val="auto"/>
        </w:rPr>
      </w:pPr>
      <w:r w:rsidRPr="00A8388A">
        <w:rPr>
          <w:color w:val="auto"/>
        </w:rPr>
        <w:t>Dans les pays de l’OCDE, l</w:t>
      </w:r>
      <w:r w:rsidR="00E2653A" w:rsidRPr="00A8388A">
        <w:rPr>
          <w:color w:val="auto"/>
        </w:rPr>
        <w:t xml:space="preserve">e chômage </w:t>
      </w:r>
      <w:r w:rsidR="005756B1" w:rsidRPr="00A8388A">
        <w:rPr>
          <w:color w:val="auto"/>
        </w:rPr>
        <w:t>atteint</w:t>
      </w:r>
      <w:r w:rsidR="00E2653A" w:rsidRPr="00A8388A">
        <w:rPr>
          <w:color w:val="auto"/>
        </w:rPr>
        <w:t xml:space="preserve"> </w:t>
      </w:r>
      <w:r w:rsidR="005756B1" w:rsidRPr="00A8388A">
        <w:rPr>
          <w:color w:val="auto"/>
        </w:rPr>
        <w:t>principalement</w:t>
      </w:r>
      <w:r w:rsidR="00E2653A" w:rsidRPr="00A8388A">
        <w:rPr>
          <w:color w:val="auto"/>
        </w:rPr>
        <w:t xml:space="preserve"> les travailleurs </w:t>
      </w:r>
      <w:r w:rsidR="00C7700B" w:rsidRPr="00A8388A">
        <w:rPr>
          <w:color w:val="auto"/>
        </w:rPr>
        <w:t>faiblement</w:t>
      </w:r>
      <w:r w:rsidR="005756B1" w:rsidRPr="00A8388A">
        <w:rPr>
          <w:color w:val="auto"/>
        </w:rPr>
        <w:t xml:space="preserve"> </w:t>
      </w:r>
      <w:r w:rsidR="00E2653A" w:rsidRPr="00A8388A">
        <w:rPr>
          <w:color w:val="auto"/>
        </w:rPr>
        <w:t>qualifiés</w:t>
      </w:r>
      <w:r w:rsidRPr="00A8388A">
        <w:rPr>
          <w:color w:val="auto"/>
        </w:rPr>
        <w:t>. Ainsi</w:t>
      </w:r>
      <w:r w:rsidR="00E11A1F">
        <w:rPr>
          <w:color w:val="auto"/>
        </w:rPr>
        <w:t>,</w:t>
      </w:r>
      <w:r w:rsidRPr="00A8388A">
        <w:rPr>
          <w:color w:val="auto"/>
        </w:rPr>
        <w:t xml:space="preserve"> </w:t>
      </w:r>
      <w:r w:rsidR="00E2653A" w:rsidRPr="00A8388A">
        <w:rPr>
          <w:color w:val="auto"/>
        </w:rPr>
        <w:t xml:space="preserve">pour </w:t>
      </w:r>
      <w:r w:rsidR="00C7700B" w:rsidRPr="00A8388A">
        <w:rPr>
          <w:color w:val="auto"/>
        </w:rPr>
        <w:t>augmenter</w:t>
      </w:r>
      <w:r w:rsidR="00E2653A" w:rsidRPr="00A8388A">
        <w:rPr>
          <w:color w:val="auto"/>
        </w:rPr>
        <w:t xml:space="preserve"> le taux d’emploi</w:t>
      </w:r>
      <w:r w:rsidRPr="00A8388A">
        <w:rPr>
          <w:color w:val="auto"/>
        </w:rPr>
        <w:t xml:space="preserve"> et donc</w:t>
      </w:r>
      <w:r w:rsidR="00C7700B" w:rsidRPr="00A8388A">
        <w:rPr>
          <w:color w:val="auto"/>
        </w:rPr>
        <w:t xml:space="preserve"> réduire</w:t>
      </w:r>
      <w:r w:rsidRPr="00A8388A">
        <w:rPr>
          <w:color w:val="auto"/>
        </w:rPr>
        <w:t xml:space="preserve"> le taux de chômage structurel</w:t>
      </w:r>
      <w:r w:rsidR="00E2653A" w:rsidRPr="00A8388A">
        <w:rPr>
          <w:color w:val="auto"/>
        </w:rPr>
        <w:t xml:space="preserve">, il faudrait créer des emplois non qualifiés </w:t>
      </w:r>
      <w:r w:rsidR="009171E0" w:rsidRPr="00A8388A">
        <w:rPr>
          <w:color w:val="auto"/>
        </w:rPr>
        <w:t xml:space="preserve">notamment dans les services </w:t>
      </w:r>
      <w:r w:rsidR="00E2653A" w:rsidRPr="00A8388A">
        <w:rPr>
          <w:color w:val="auto"/>
        </w:rPr>
        <w:t xml:space="preserve">ce qui conduit à augmenter le nombre de personnes </w:t>
      </w:r>
      <w:r w:rsidR="00326B80" w:rsidRPr="00A8388A">
        <w:rPr>
          <w:color w:val="auto"/>
        </w:rPr>
        <w:t>percevant</w:t>
      </w:r>
      <w:r w:rsidR="00E2653A" w:rsidRPr="00A8388A">
        <w:rPr>
          <w:color w:val="auto"/>
        </w:rPr>
        <w:t xml:space="preserve"> des bas salaires </w:t>
      </w:r>
      <w:r w:rsidR="009171E0" w:rsidRPr="00A8388A">
        <w:rPr>
          <w:color w:val="auto"/>
        </w:rPr>
        <w:t>et</w:t>
      </w:r>
      <w:r w:rsidR="00E2653A" w:rsidRPr="00A8388A">
        <w:rPr>
          <w:color w:val="auto"/>
        </w:rPr>
        <w:t xml:space="preserve"> à augment</w:t>
      </w:r>
      <w:r w:rsidR="009171E0" w:rsidRPr="00A8388A">
        <w:rPr>
          <w:color w:val="auto"/>
        </w:rPr>
        <w:t>er</w:t>
      </w:r>
      <w:r w:rsidR="00E2653A" w:rsidRPr="00A8388A">
        <w:rPr>
          <w:color w:val="auto"/>
        </w:rPr>
        <w:t xml:space="preserve"> </w:t>
      </w:r>
      <w:r w:rsidR="009171E0" w:rsidRPr="00A8388A">
        <w:rPr>
          <w:color w:val="auto"/>
        </w:rPr>
        <w:t>l</w:t>
      </w:r>
      <w:r w:rsidR="00E2653A" w:rsidRPr="00A8388A">
        <w:rPr>
          <w:color w:val="auto"/>
        </w:rPr>
        <w:t>es inégalités</w:t>
      </w:r>
      <w:r w:rsidR="00B35128" w:rsidRPr="00A8388A">
        <w:rPr>
          <w:color w:val="auto"/>
        </w:rPr>
        <w:t xml:space="preserve"> de revenu</w:t>
      </w:r>
      <w:r w:rsidR="00E2653A" w:rsidRPr="00A8388A">
        <w:rPr>
          <w:color w:val="auto"/>
        </w:rPr>
        <w:t xml:space="preserve">. Il y a donc une malédiction liée au fort taux d’emploi puisqu’il s’associe à une hausse des inégalités économiques. </w:t>
      </w:r>
    </w:p>
    <w:p w14:paraId="4266FBA0" w14:textId="5AA43594" w:rsidR="004479A8" w:rsidRPr="00A8388A" w:rsidRDefault="00E2653A">
      <w:pPr>
        <w:jc w:val="both"/>
        <w:rPr>
          <w:color w:val="auto"/>
        </w:rPr>
      </w:pPr>
      <w:r w:rsidRPr="00A8388A">
        <w:rPr>
          <w:color w:val="auto"/>
        </w:rPr>
        <w:t xml:space="preserve">En France, le taux d’emploi est faible et le taux de chômeurs de longue durée est important. Le chômage a tendance à diminuer mais lentement. </w:t>
      </w:r>
    </w:p>
    <w:p w14:paraId="78CE367D" w14:textId="4E3ED8B8" w:rsidR="00F559B1" w:rsidRPr="00A8388A" w:rsidRDefault="00F559B1">
      <w:pPr>
        <w:jc w:val="both"/>
        <w:rPr>
          <w:color w:val="auto"/>
        </w:rPr>
      </w:pPr>
      <w:r w:rsidRPr="00A8388A">
        <w:rPr>
          <w:noProof/>
          <w:color w:val="auto"/>
        </w:rPr>
        <w:drawing>
          <wp:inline distT="0" distB="0" distL="0" distR="0" wp14:anchorId="7300E022" wp14:editId="77388478">
            <wp:extent cx="5337175" cy="2389505"/>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37175" cy="2389505"/>
                    </a:xfrm>
                    <a:prstGeom prst="rect">
                      <a:avLst/>
                    </a:prstGeom>
                  </pic:spPr>
                </pic:pic>
              </a:graphicData>
            </a:graphic>
          </wp:inline>
        </w:drawing>
      </w:r>
    </w:p>
    <w:p w14:paraId="09C4155C" w14:textId="2425D9D5" w:rsidR="00F559B1" w:rsidRPr="00A8388A" w:rsidRDefault="00F559B1" w:rsidP="00F905D4">
      <w:pPr>
        <w:jc w:val="center"/>
        <w:rPr>
          <w:color w:val="auto"/>
        </w:rPr>
      </w:pPr>
      <w:r w:rsidRPr="00A8388A">
        <w:rPr>
          <w:noProof/>
          <w:color w:val="auto"/>
        </w:rPr>
        <w:drawing>
          <wp:inline distT="0" distB="0" distL="0" distR="0" wp14:anchorId="4A398085" wp14:editId="30428B1A">
            <wp:extent cx="5314950" cy="3304058"/>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39688" cy="3319437"/>
                    </a:xfrm>
                    <a:prstGeom prst="rect">
                      <a:avLst/>
                    </a:prstGeom>
                  </pic:spPr>
                </pic:pic>
              </a:graphicData>
            </a:graphic>
          </wp:inline>
        </w:drawing>
      </w:r>
    </w:p>
    <w:p w14:paraId="3F071010" w14:textId="03DF324D" w:rsidR="00E85D6E" w:rsidRPr="00A8388A" w:rsidRDefault="00F559B1" w:rsidP="00F905D4">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P.90. DOI : </w:t>
      </w:r>
      <w:hyperlink r:id="rId24" w:history="1">
        <w:r w:rsidRPr="00A8388A">
          <w:rPr>
            <w:color w:val="auto"/>
          </w:rPr>
          <w:t>https://doi.org/10.1787/10f0135f-fr</w:t>
        </w:r>
      </w:hyperlink>
      <w:r w:rsidRPr="00A8388A">
        <w:rPr>
          <w:color w:val="auto"/>
        </w:rPr>
        <w:t xml:space="preserve">. </w:t>
      </w:r>
    </w:p>
    <w:p w14:paraId="0BA4D9C9" w14:textId="4F5C5496" w:rsidR="00957963" w:rsidRPr="00A8388A" w:rsidRDefault="00957963">
      <w:pPr>
        <w:jc w:val="both"/>
        <w:rPr>
          <w:color w:val="auto"/>
        </w:rPr>
      </w:pPr>
      <w:r w:rsidRPr="00A8388A">
        <w:rPr>
          <w:color w:val="auto"/>
        </w:rPr>
        <w:lastRenderedPageBreak/>
        <w:t>Graphique ajouté par les rédactrices du compte-rendu :</w:t>
      </w:r>
    </w:p>
    <w:p w14:paraId="52D603BE" w14:textId="4217D5BF" w:rsidR="004E57A8" w:rsidRDefault="004E57A8" w:rsidP="004E57A8">
      <w:pPr>
        <w:rPr>
          <w:color w:val="auto"/>
        </w:rPr>
      </w:pPr>
      <w:r w:rsidRPr="00A8388A">
        <w:rPr>
          <w:noProof/>
          <w:color w:val="auto"/>
        </w:rPr>
        <w:drawing>
          <wp:inline distT="0" distB="0" distL="0" distR="0" wp14:anchorId="3BE9A94E" wp14:editId="5804FD1B">
            <wp:extent cx="5337175" cy="244729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37175" cy="2447290"/>
                    </a:xfrm>
                    <a:prstGeom prst="rect">
                      <a:avLst/>
                    </a:prstGeom>
                  </pic:spPr>
                </pic:pic>
              </a:graphicData>
            </a:graphic>
          </wp:inline>
        </w:drawing>
      </w:r>
    </w:p>
    <w:p w14:paraId="276FEA43" w14:textId="77777777" w:rsidR="00E11A1F" w:rsidRPr="00A8388A" w:rsidRDefault="00E11A1F" w:rsidP="004E57A8">
      <w:pPr>
        <w:rPr>
          <w:color w:val="auto"/>
        </w:rPr>
      </w:pPr>
    </w:p>
    <w:p w14:paraId="297CE473" w14:textId="3EF9CED7" w:rsidR="00957963" w:rsidRPr="00A8388A" w:rsidRDefault="00957963" w:rsidP="00957963">
      <w:pPr>
        <w:jc w:val="both"/>
        <w:rPr>
          <w:color w:val="auto"/>
        </w:rPr>
      </w:pPr>
      <w:r w:rsidRPr="00A8388A">
        <w:rPr>
          <w:color w:val="auto"/>
        </w:rPr>
        <w:t xml:space="preserve">Une autre caractéristique du marché du travail français concerne </w:t>
      </w:r>
      <w:r w:rsidRPr="00D40D1E">
        <w:rPr>
          <w:color w:val="auto"/>
        </w:rPr>
        <w:t>les jeunes</w:t>
      </w:r>
      <w:r w:rsidRPr="00A8388A">
        <w:rPr>
          <w:color w:val="auto"/>
        </w:rPr>
        <w:t xml:space="preserve">. En effet, la France a un nombre important de jeunes déscolarisés et sans emploi. Ces jeunes (15-29 ans ou 15-34 ans selon les études) qui ne sont ni en emploi, ni en formation, ni en études sont appelés les « NEET » (Not in Education, Employment or Training). De plus, la part des travailleurs non qualifiés est importante en </w:t>
      </w:r>
      <w:r w:rsidR="003F77AD" w:rsidRPr="00A8388A">
        <w:rPr>
          <w:color w:val="auto"/>
        </w:rPr>
        <w:t>France (cf supra)</w:t>
      </w:r>
      <w:r w:rsidRPr="00A8388A">
        <w:rPr>
          <w:color w:val="auto"/>
        </w:rPr>
        <w:t>.</w:t>
      </w:r>
    </w:p>
    <w:p w14:paraId="192E8A50" w14:textId="1965D7B4" w:rsidR="00957963" w:rsidRPr="00A8388A" w:rsidRDefault="006E1D56" w:rsidP="00494E72">
      <w:pPr>
        <w:jc w:val="center"/>
        <w:rPr>
          <w:color w:val="auto"/>
        </w:rPr>
      </w:pPr>
      <w:r w:rsidRPr="00A8388A">
        <w:rPr>
          <w:noProof/>
          <w:color w:val="auto"/>
        </w:rPr>
        <w:drawing>
          <wp:inline distT="0" distB="0" distL="0" distR="0" wp14:anchorId="7313F0E0" wp14:editId="591518D0">
            <wp:extent cx="5337175" cy="297307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7175" cy="2973070"/>
                    </a:xfrm>
                    <a:prstGeom prst="rect">
                      <a:avLst/>
                    </a:prstGeom>
                  </pic:spPr>
                </pic:pic>
              </a:graphicData>
            </a:graphic>
          </wp:inline>
        </w:drawing>
      </w:r>
    </w:p>
    <w:p w14:paraId="185445E3" w14:textId="5DFEAA69" w:rsidR="00494E72" w:rsidRDefault="006E1D56" w:rsidP="00494E72">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P.97. DOI : </w:t>
      </w:r>
      <w:hyperlink r:id="rId27" w:history="1">
        <w:r w:rsidRPr="00A8388A">
          <w:rPr>
            <w:color w:val="auto"/>
          </w:rPr>
          <w:t>https://doi.org/10.1787/10f0135f-fr</w:t>
        </w:r>
      </w:hyperlink>
      <w:r w:rsidRPr="00A8388A">
        <w:rPr>
          <w:color w:val="auto"/>
        </w:rPr>
        <w:t xml:space="preserve">. </w:t>
      </w:r>
    </w:p>
    <w:p w14:paraId="0DDC713D" w14:textId="77777777" w:rsidR="00494E72" w:rsidRPr="00A8388A" w:rsidRDefault="00494E72" w:rsidP="00494E72">
      <w:pPr>
        <w:ind w:left="360"/>
        <w:jc w:val="right"/>
        <w:rPr>
          <w:color w:val="auto"/>
        </w:rPr>
      </w:pPr>
    </w:p>
    <w:p w14:paraId="03CFF2A2" w14:textId="3EC10ACD" w:rsidR="004479A8" w:rsidRPr="00A8388A" w:rsidRDefault="00E2653A">
      <w:pPr>
        <w:jc w:val="both"/>
        <w:rPr>
          <w:color w:val="auto"/>
        </w:rPr>
      </w:pPr>
      <w:r w:rsidRPr="00A8388A">
        <w:rPr>
          <w:color w:val="auto"/>
        </w:rPr>
        <w:t xml:space="preserve">La solution serait donc d’augmenter le niveau de compétences des individus et en particulier des NEET pour concilier hausse du taux d’emploi et baisse des inégalités mais cela constitue un défi pour la France dans la mesure où la formation initiale (avec les décrocheurs scolaires) mais surtout continue ne sont pas à la hauteur. </w:t>
      </w:r>
    </w:p>
    <w:p w14:paraId="54083B84" w14:textId="015ED4A4" w:rsidR="00B340E4" w:rsidRPr="00A8388A" w:rsidRDefault="00B340E4" w:rsidP="00B340E4">
      <w:pPr>
        <w:jc w:val="center"/>
        <w:rPr>
          <w:color w:val="auto"/>
        </w:rPr>
      </w:pPr>
      <w:r w:rsidRPr="00A8388A">
        <w:rPr>
          <w:noProof/>
          <w:color w:val="auto"/>
        </w:rPr>
        <w:lastRenderedPageBreak/>
        <w:drawing>
          <wp:inline distT="0" distB="0" distL="0" distR="0" wp14:anchorId="174E6136" wp14:editId="362082E9">
            <wp:extent cx="2817545" cy="2393950"/>
            <wp:effectExtent l="0" t="0" r="1905" b="635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20617" cy="2396560"/>
                    </a:xfrm>
                    <a:prstGeom prst="rect">
                      <a:avLst/>
                    </a:prstGeom>
                  </pic:spPr>
                </pic:pic>
              </a:graphicData>
            </a:graphic>
          </wp:inline>
        </w:drawing>
      </w:r>
    </w:p>
    <w:p w14:paraId="2E1047D5" w14:textId="7A1D256B" w:rsidR="00B340E4" w:rsidRPr="00A8388A" w:rsidRDefault="00B340E4" w:rsidP="00B340E4">
      <w:pPr>
        <w:jc w:val="both"/>
        <w:rPr>
          <w:color w:val="auto"/>
        </w:rPr>
      </w:pPr>
      <w:r w:rsidRPr="00A8388A">
        <w:rPr>
          <w:noProof/>
          <w:color w:val="auto"/>
        </w:rPr>
        <w:drawing>
          <wp:inline distT="0" distB="0" distL="0" distR="0" wp14:anchorId="180A9221" wp14:editId="187C783B">
            <wp:extent cx="5337175" cy="984250"/>
            <wp:effectExtent l="0" t="0" r="0" b="635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37175" cy="984250"/>
                    </a:xfrm>
                    <a:prstGeom prst="rect">
                      <a:avLst/>
                    </a:prstGeom>
                  </pic:spPr>
                </pic:pic>
              </a:graphicData>
            </a:graphic>
          </wp:inline>
        </w:drawing>
      </w:r>
    </w:p>
    <w:p w14:paraId="585A33F8" w14:textId="14C4B037" w:rsidR="00B340E4" w:rsidRPr="00A8388A" w:rsidRDefault="00B340E4" w:rsidP="00B340E4">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P.107. DOI : </w:t>
      </w:r>
      <w:hyperlink r:id="rId30" w:history="1">
        <w:r w:rsidRPr="00A8388A">
          <w:rPr>
            <w:color w:val="auto"/>
          </w:rPr>
          <w:t>https://doi.org/10.1787/10f0135f-fr</w:t>
        </w:r>
      </w:hyperlink>
      <w:r w:rsidRPr="00A8388A">
        <w:rPr>
          <w:color w:val="auto"/>
        </w:rPr>
        <w:t xml:space="preserve">. </w:t>
      </w:r>
    </w:p>
    <w:p w14:paraId="4B3161FC" w14:textId="604D141E" w:rsidR="00B340E4" w:rsidRPr="00A8388A" w:rsidRDefault="002041D1" w:rsidP="002041D1">
      <w:pPr>
        <w:jc w:val="center"/>
        <w:rPr>
          <w:color w:val="auto"/>
        </w:rPr>
      </w:pPr>
      <w:r w:rsidRPr="00A8388A">
        <w:rPr>
          <w:noProof/>
          <w:color w:val="auto"/>
        </w:rPr>
        <w:drawing>
          <wp:inline distT="0" distB="0" distL="0" distR="0" wp14:anchorId="4F0E1BA2" wp14:editId="510C9C45">
            <wp:extent cx="2927350" cy="2362304"/>
            <wp:effectExtent l="0" t="0" r="635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39604" cy="2372192"/>
                    </a:xfrm>
                    <a:prstGeom prst="rect">
                      <a:avLst/>
                    </a:prstGeom>
                  </pic:spPr>
                </pic:pic>
              </a:graphicData>
            </a:graphic>
          </wp:inline>
        </w:drawing>
      </w:r>
    </w:p>
    <w:p w14:paraId="0809B252" w14:textId="3841BB63" w:rsidR="002041D1" w:rsidRPr="00A8388A" w:rsidRDefault="002041D1" w:rsidP="002041D1">
      <w:pPr>
        <w:jc w:val="both"/>
        <w:rPr>
          <w:color w:val="auto"/>
        </w:rPr>
      </w:pPr>
      <w:r w:rsidRPr="00A8388A">
        <w:rPr>
          <w:noProof/>
          <w:color w:val="auto"/>
        </w:rPr>
        <w:drawing>
          <wp:inline distT="0" distB="0" distL="0" distR="0" wp14:anchorId="498020F1" wp14:editId="18D4D6D0">
            <wp:extent cx="5337175" cy="28829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37175" cy="288290"/>
                    </a:xfrm>
                    <a:prstGeom prst="rect">
                      <a:avLst/>
                    </a:prstGeom>
                  </pic:spPr>
                </pic:pic>
              </a:graphicData>
            </a:graphic>
          </wp:inline>
        </w:drawing>
      </w:r>
    </w:p>
    <w:p w14:paraId="4CBE85ED" w14:textId="301E462D" w:rsidR="002041D1" w:rsidRPr="00A8388A" w:rsidRDefault="002041D1" w:rsidP="002041D1">
      <w:pPr>
        <w:jc w:val="both"/>
        <w:rPr>
          <w:color w:val="auto"/>
        </w:rPr>
      </w:pPr>
      <w:r w:rsidRPr="00A8388A">
        <w:rPr>
          <w:noProof/>
          <w:color w:val="auto"/>
        </w:rPr>
        <w:drawing>
          <wp:inline distT="0" distB="0" distL="0" distR="0" wp14:anchorId="0239AB32" wp14:editId="482E37C4">
            <wp:extent cx="5337175" cy="628015"/>
            <wp:effectExtent l="0" t="0" r="0" b="63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37175" cy="628015"/>
                    </a:xfrm>
                    <a:prstGeom prst="rect">
                      <a:avLst/>
                    </a:prstGeom>
                  </pic:spPr>
                </pic:pic>
              </a:graphicData>
            </a:graphic>
          </wp:inline>
        </w:drawing>
      </w:r>
    </w:p>
    <w:p w14:paraId="1476FC60" w14:textId="2C209AD1" w:rsidR="002041D1" w:rsidRPr="00A8388A" w:rsidRDefault="002041D1" w:rsidP="002041D1">
      <w:pPr>
        <w:jc w:val="right"/>
        <w:rPr>
          <w:color w:val="auto"/>
        </w:rPr>
      </w:pPr>
      <w:r w:rsidRPr="00A8388A">
        <w:rPr>
          <w:noProof/>
          <w:color w:val="auto"/>
        </w:rPr>
        <w:drawing>
          <wp:inline distT="0" distB="0" distL="0" distR="0" wp14:anchorId="7AC31316" wp14:editId="5E0CCCFB">
            <wp:extent cx="3082889" cy="357966"/>
            <wp:effectExtent l="0" t="0" r="3810" b="444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287038" cy="381671"/>
                    </a:xfrm>
                    <a:prstGeom prst="rect">
                      <a:avLst/>
                    </a:prstGeom>
                  </pic:spPr>
                </pic:pic>
              </a:graphicData>
            </a:graphic>
          </wp:inline>
        </w:drawing>
      </w:r>
    </w:p>
    <w:p w14:paraId="7D9B1885" w14:textId="5CF0E4A2" w:rsidR="006727FE" w:rsidRPr="00A8388A" w:rsidRDefault="002041D1" w:rsidP="00494E72">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P.115. DOI : </w:t>
      </w:r>
      <w:hyperlink r:id="rId35" w:history="1">
        <w:r w:rsidRPr="00A8388A">
          <w:rPr>
            <w:color w:val="auto"/>
          </w:rPr>
          <w:t>https://doi.org/10.1787/10f0135f-fr</w:t>
        </w:r>
      </w:hyperlink>
      <w:r w:rsidRPr="00A8388A">
        <w:rPr>
          <w:color w:val="auto"/>
        </w:rPr>
        <w:t xml:space="preserve">. </w:t>
      </w:r>
    </w:p>
    <w:p w14:paraId="7D5ABAAC" w14:textId="726C3974" w:rsidR="00A84744" w:rsidRPr="00A8388A" w:rsidRDefault="00A84744" w:rsidP="00A84744">
      <w:pPr>
        <w:jc w:val="both"/>
        <w:rPr>
          <w:color w:val="auto"/>
        </w:rPr>
      </w:pPr>
      <w:r w:rsidRPr="00A8388A">
        <w:rPr>
          <w:color w:val="auto"/>
        </w:rPr>
        <w:lastRenderedPageBreak/>
        <w:t>Les compétences des adultes français se situent au 21ème rang au sein de l'OCDE</w:t>
      </w:r>
      <w:r w:rsidRPr="00A8388A">
        <w:rPr>
          <w:rStyle w:val="Appelnotedebasdep"/>
          <w:color w:val="auto"/>
        </w:rPr>
        <w:footnoteReference w:id="14"/>
      </w:r>
      <w:r w:rsidR="00C43203" w:rsidRPr="00A8388A">
        <w:rPr>
          <w:color w:val="auto"/>
        </w:rPr>
        <w:t xml:space="preserve"> et, comme énoncé précédemment, la part des travailleurs sous-qualifiés en France est importante.</w:t>
      </w:r>
    </w:p>
    <w:p w14:paraId="50B273EC" w14:textId="77777777" w:rsidR="00C43203" w:rsidRPr="00A8388A" w:rsidRDefault="00C43203" w:rsidP="00494E72">
      <w:pPr>
        <w:ind w:left="360"/>
        <w:jc w:val="center"/>
        <w:rPr>
          <w:color w:val="auto"/>
        </w:rPr>
      </w:pPr>
      <w:r w:rsidRPr="00A8388A">
        <w:rPr>
          <w:noProof/>
          <w:color w:val="auto"/>
        </w:rPr>
        <w:drawing>
          <wp:inline distT="0" distB="0" distL="0" distR="0" wp14:anchorId="0F019A7A" wp14:editId="4B900459">
            <wp:extent cx="5337175" cy="3592830"/>
            <wp:effectExtent l="0" t="0" r="0" b="762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37175" cy="3592830"/>
                    </a:xfrm>
                    <a:prstGeom prst="rect">
                      <a:avLst/>
                    </a:prstGeom>
                  </pic:spPr>
                </pic:pic>
              </a:graphicData>
            </a:graphic>
          </wp:inline>
        </w:drawing>
      </w:r>
    </w:p>
    <w:p w14:paraId="691613C7" w14:textId="77777777" w:rsidR="00C43203" w:rsidRPr="00A8388A" w:rsidRDefault="00C43203" w:rsidP="00C43203">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P.91. DOI : </w:t>
      </w:r>
      <w:hyperlink r:id="rId36" w:history="1">
        <w:r w:rsidRPr="00A8388A">
          <w:rPr>
            <w:color w:val="auto"/>
          </w:rPr>
          <w:t>https://doi.org/10.1787/10f0135f-fr</w:t>
        </w:r>
      </w:hyperlink>
      <w:r w:rsidRPr="00A8388A">
        <w:rPr>
          <w:color w:val="auto"/>
        </w:rPr>
        <w:t xml:space="preserve">. </w:t>
      </w:r>
    </w:p>
    <w:p w14:paraId="0E877330" w14:textId="77777777" w:rsidR="00A84744" w:rsidRPr="00A8388A" w:rsidRDefault="00A84744" w:rsidP="00A84744">
      <w:pPr>
        <w:rPr>
          <w:color w:val="auto"/>
        </w:rPr>
      </w:pPr>
    </w:p>
    <w:p w14:paraId="07AA0FA6" w14:textId="5732C7ED" w:rsidR="004479A8" w:rsidRPr="00A8388A" w:rsidRDefault="00E2653A">
      <w:pPr>
        <w:jc w:val="both"/>
        <w:rPr>
          <w:color w:val="auto"/>
        </w:rPr>
      </w:pPr>
      <w:r w:rsidRPr="00A8388A">
        <w:rPr>
          <w:color w:val="auto"/>
        </w:rPr>
        <w:t xml:space="preserve">Ainsi, si les inégalités de revenu avant redistribution sont élevées alors une forte redistribution est nécessaire pour les gommer mais cela induit une pression fiscale importante </w:t>
      </w:r>
      <w:r w:rsidR="007C3DD2" w:rsidRPr="00A8388A">
        <w:rPr>
          <w:color w:val="auto"/>
        </w:rPr>
        <w:t xml:space="preserve">sur les ménages mais aussi </w:t>
      </w:r>
      <w:r w:rsidRPr="00A8388A">
        <w:rPr>
          <w:color w:val="auto"/>
        </w:rPr>
        <w:t>sur les entreprises. Cette pression fiscale sur les entreprises a pour conséquence un plus faible taux d’emploi ce qui accroît les inégalités. Il faut savoir que la France est un pays très inégalitaire en termes de revenu avant redistribution mais faiblement inégalitaire après redistribution</w:t>
      </w:r>
      <w:r w:rsidR="008F5DD4" w:rsidRPr="00A8388A">
        <w:rPr>
          <w:color w:val="auto"/>
        </w:rPr>
        <w:t xml:space="preserve"> et qu’effectivement, la France a un taux d’emploi faible et une pression fiscale élevée.</w:t>
      </w:r>
      <w:r w:rsidR="00D40D1E">
        <w:rPr>
          <w:color w:val="auto"/>
        </w:rPr>
        <w:t xml:space="preserve"> </w:t>
      </w:r>
      <w:r w:rsidRPr="00A8388A">
        <w:rPr>
          <w:color w:val="auto"/>
        </w:rPr>
        <w:t>Le fait de rejeter le modèle du working</w:t>
      </w:r>
      <w:r w:rsidR="00136D3D" w:rsidRPr="00A8388A">
        <w:rPr>
          <w:color w:val="auto"/>
        </w:rPr>
        <w:t xml:space="preserve"> </w:t>
      </w:r>
      <w:r w:rsidRPr="00A8388A">
        <w:rPr>
          <w:color w:val="auto"/>
        </w:rPr>
        <w:t xml:space="preserve">poor conduit à une indemnisation chômage </w:t>
      </w:r>
      <w:r w:rsidR="003F292B" w:rsidRPr="00A8388A">
        <w:rPr>
          <w:color w:val="auto"/>
        </w:rPr>
        <w:t>généreuse</w:t>
      </w:r>
      <w:r w:rsidRPr="00A8388A">
        <w:rPr>
          <w:color w:val="auto"/>
        </w:rPr>
        <w:t>, ce qui est le cas en France et donc à une pression fiscale élevée.</w:t>
      </w:r>
    </w:p>
    <w:p w14:paraId="2226F639" w14:textId="5232F5D1" w:rsidR="004479A8" w:rsidRPr="00A8388A" w:rsidRDefault="00E2653A">
      <w:pPr>
        <w:jc w:val="both"/>
        <w:rPr>
          <w:color w:val="auto"/>
        </w:rPr>
      </w:pPr>
      <w:r w:rsidRPr="00A8388A">
        <w:rPr>
          <w:color w:val="auto"/>
        </w:rPr>
        <w:t>Le marché du travail français est également marqué par un fort dualisme (insiders</w:t>
      </w:r>
      <w:r w:rsidR="000173E1">
        <w:rPr>
          <w:color w:val="auto"/>
        </w:rPr>
        <w:t xml:space="preserve"> </w:t>
      </w:r>
      <w:r w:rsidRPr="00A8388A">
        <w:rPr>
          <w:color w:val="auto"/>
        </w:rPr>
        <w:t>/</w:t>
      </w:r>
      <w:r w:rsidR="000173E1">
        <w:rPr>
          <w:color w:val="auto"/>
        </w:rPr>
        <w:t xml:space="preserve"> </w:t>
      </w:r>
      <w:r w:rsidRPr="00A8388A">
        <w:rPr>
          <w:color w:val="auto"/>
        </w:rPr>
        <w:t xml:space="preserve">outsiders) et donc </w:t>
      </w:r>
      <w:r w:rsidR="001404E2">
        <w:rPr>
          <w:color w:val="auto"/>
        </w:rPr>
        <w:t xml:space="preserve">par </w:t>
      </w:r>
      <w:r w:rsidRPr="00A8388A">
        <w:rPr>
          <w:color w:val="auto"/>
        </w:rPr>
        <w:t xml:space="preserve">une part importante de chômeurs et de CDD notamment. </w:t>
      </w:r>
      <w:r w:rsidR="00806488" w:rsidRPr="00A8388A">
        <w:rPr>
          <w:color w:val="auto"/>
        </w:rPr>
        <w:t>Parmi les CDD</w:t>
      </w:r>
      <w:r w:rsidR="00CA1748" w:rsidRPr="00A8388A">
        <w:rPr>
          <w:color w:val="auto"/>
        </w:rPr>
        <w:t>,</w:t>
      </w:r>
      <w:r w:rsidR="00806488" w:rsidRPr="00A8388A">
        <w:rPr>
          <w:color w:val="auto"/>
        </w:rPr>
        <w:t xml:space="preserve"> l</w:t>
      </w:r>
      <w:r w:rsidR="003E6606" w:rsidRPr="00A8388A">
        <w:rPr>
          <w:color w:val="auto"/>
        </w:rPr>
        <w:t>e</w:t>
      </w:r>
      <w:r w:rsidR="00806488" w:rsidRPr="00A8388A">
        <w:rPr>
          <w:color w:val="auto"/>
        </w:rPr>
        <w:t xml:space="preserve"> taux de contrats courts (de moins de trois mois) est très élevé par rapport aux autres pays de l'OCDE</w:t>
      </w:r>
      <w:r w:rsidR="00B82B1C" w:rsidRPr="00A8388A">
        <w:rPr>
          <w:color w:val="auto"/>
        </w:rPr>
        <w:t xml:space="preserve">. </w:t>
      </w:r>
      <w:r w:rsidRPr="00A8388A">
        <w:rPr>
          <w:color w:val="auto"/>
        </w:rPr>
        <w:t>Le CDD pourrait constituer une transition entre le chômage et l’emploi mais cette transition est peu efficace en France et on constate peu de passages du CDD au CDI. De même, les contrats précaires ont peu accès à la formation continue ce qui ne favorise pas l’inclusion des outsiders.</w:t>
      </w:r>
    </w:p>
    <w:p w14:paraId="4BC0B4E9" w14:textId="384083BC" w:rsidR="004479A8" w:rsidRPr="00A8388A" w:rsidRDefault="00AB57D2">
      <w:pPr>
        <w:jc w:val="both"/>
        <w:rPr>
          <w:color w:val="auto"/>
        </w:rPr>
      </w:pPr>
      <w:r w:rsidRPr="00A8388A">
        <w:rPr>
          <w:noProof/>
          <w:color w:val="auto"/>
        </w:rPr>
        <w:lastRenderedPageBreak/>
        <w:drawing>
          <wp:inline distT="0" distB="0" distL="0" distR="0" wp14:anchorId="1E0A83D0" wp14:editId="40521C75">
            <wp:extent cx="5337175" cy="2511425"/>
            <wp:effectExtent l="0" t="0" r="0" b="317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7175" cy="2511425"/>
                    </a:xfrm>
                    <a:prstGeom prst="rect">
                      <a:avLst/>
                    </a:prstGeom>
                  </pic:spPr>
                </pic:pic>
              </a:graphicData>
            </a:graphic>
          </wp:inline>
        </w:drawing>
      </w:r>
    </w:p>
    <w:p w14:paraId="6C7AB90E" w14:textId="77777777" w:rsidR="00AB57D2" w:rsidRPr="00A8388A" w:rsidRDefault="00AB57D2">
      <w:pPr>
        <w:rPr>
          <w:b/>
          <w:bCs/>
          <w:color w:val="auto"/>
        </w:rPr>
      </w:pPr>
      <w:r w:rsidRPr="00A8388A">
        <w:rPr>
          <w:noProof/>
          <w:color w:val="auto"/>
        </w:rPr>
        <w:drawing>
          <wp:inline distT="0" distB="0" distL="0" distR="0" wp14:anchorId="5886492B" wp14:editId="28EF6AB7">
            <wp:extent cx="5337175" cy="3345815"/>
            <wp:effectExtent l="0" t="0" r="0" b="698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37175" cy="3345815"/>
                    </a:xfrm>
                    <a:prstGeom prst="rect">
                      <a:avLst/>
                    </a:prstGeom>
                  </pic:spPr>
                </pic:pic>
              </a:graphicData>
            </a:graphic>
          </wp:inline>
        </w:drawing>
      </w:r>
    </w:p>
    <w:p w14:paraId="145718C4" w14:textId="65ED3E9B" w:rsidR="00AB57D2" w:rsidRPr="00A8388A" w:rsidRDefault="00AB57D2" w:rsidP="00AB57D2">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P.95. DOI : </w:t>
      </w:r>
      <w:hyperlink r:id="rId39" w:history="1">
        <w:r w:rsidRPr="00A8388A">
          <w:rPr>
            <w:color w:val="auto"/>
          </w:rPr>
          <w:t>https://doi.org/10.1787/10f0135f-fr</w:t>
        </w:r>
      </w:hyperlink>
      <w:r w:rsidRPr="00A8388A">
        <w:rPr>
          <w:color w:val="auto"/>
        </w:rPr>
        <w:t xml:space="preserve">. </w:t>
      </w:r>
    </w:p>
    <w:p w14:paraId="3AE91E12" w14:textId="449F6702" w:rsidR="00F4222F" w:rsidRPr="00A8388A" w:rsidRDefault="00C71694">
      <w:pPr>
        <w:rPr>
          <w:b/>
          <w:bCs/>
          <w:color w:val="auto"/>
        </w:rPr>
      </w:pPr>
      <w:r w:rsidRPr="00A8388A">
        <w:rPr>
          <w:noProof/>
          <w:color w:val="auto"/>
        </w:rPr>
        <w:lastRenderedPageBreak/>
        <w:drawing>
          <wp:inline distT="0" distB="0" distL="0" distR="0" wp14:anchorId="5C3414FC" wp14:editId="2244CDFF">
            <wp:extent cx="5337175" cy="3575050"/>
            <wp:effectExtent l="0" t="0" r="0" b="635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7175" cy="3575050"/>
                    </a:xfrm>
                    <a:prstGeom prst="rect">
                      <a:avLst/>
                    </a:prstGeom>
                  </pic:spPr>
                </pic:pic>
              </a:graphicData>
            </a:graphic>
          </wp:inline>
        </w:drawing>
      </w:r>
    </w:p>
    <w:p w14:paraId="323F9A7C" w14:textId="55781B66" w:rsidR="00C71694" w:rsidRPr="00A8388A" w:rsidRDefault="00C71694" w:rsidP="00C71694">
      <w:pPr>
        <w:jc w:val="right"/>
        <w:rPr>
          <w:color w:val="auto"/>
        </w:rPr>
      </w:pPr>
      <w:r w:rsidRPr="00A8388A">
        <w:rPr>
          <w:noProof/>
          <w:color w:val="auto"/>
        </w:rPr>
        <w:drawing>
          <wp:inline distT="0" distB="0" distL="0" distR="0" wp14:anchorId="0E6A39DA" wp14:editId="436D5C3B">
            <wp:extent cx="2705100" cy="325378"/>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820270" cy="339231"/>
                    </a:xfrm>
                    <a:prstGeom prst="rect">
                      <a:avLst/>
                    </a:prstGeom>
                  </pic:spPr>
                </pic:pic>
              </a:graphicData>
            </a:graphic>
          </wp:inline>
        </w:drawing>
      </w:r>
    </w:p>
    <w:p w14:paraId="67D7DDEB" w14:textId="708609CF" w:rsidR="00C71694" w:rsidRPr="00A8388A" w:rsidRDefault="003749D3" w:rsidP="003749D3">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P.96. DOI : </w:t>
      </w:r>
      <w:hyperlink r:id="rId42" w:history="1">
        <w:r w:rsidRPr="00A8388A">
          <w:rPr>
            <w:color w:val="auto"/>
          </w:rPr>
          <w:t>https://doi.org/10.1787/10f0135f-fr</w:t>
        </w:r>
      </w:hyperlink>
      <w:r w:rsidRPr="00A8388A">
        <w:rPr>
          <w:color w:val="auto"/>
        </w:rPr>
        <w:t xml:space="preserve">. </w:t>
      </w:r>
    </w:p>
    <w:p w14:paraId="21D3BABF" w14:textId="77777777" w:rsidR="003719C9" w:rsidRPr="00A8388A" w:rsidRDefault="003719C9" w:rsidP="00C71694">
      <w:pPr>
        <w:rPr>
          <w:color w:val="auto"/>
        </w:rPr>
      </w:pPr>
    </w:p>
    <w:p w14:paraId="51189F47" w14:textId="159C9788" w:rsidR="003749D3" w:rsidRPr="00A8388A" w:rsidRDefault="003749D3" w:rsidP="00C71694">
      <w:pPr>
        <w:rPr>
          <w:color w:val="auto"/>
        </w:rPr>
      </w:pPr>
      <w:r w:rsidRPr="00A8388A">
        <w:rPr>
          <w:noProof/>
          <w:color w:val="auto"/>
        </w:rPr>
        <w:drawing>
          <wp:inline distT="0" distB="0" distL="0" distR="0" wp14:anchorId="4A5FD3CD" wp14:editId="4FCA0E8A">
            <wp:extent cx="5337175" cy="2382520"/>
            <wp:effectExtent l="0" t="0" r="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7175" cy="2382520"/>
                    </a:xfrm>
                    <a:prstGeom prst="rect">
                      <a:avLst/>
                    </a:prstGeom>
                  </pic:spPr>
                </pic:pic>
              </a:graphicData>
            </a:graphic>
          </wp:inline>
        </w:drawing>
      </w:r>
    </w:p>
    <w:p w14:paraId="336DF641" w14:textId="52A7E568" w:rsidR="003749D3" w:rsidRPr="00A8388A" w:rsidRDefault="003749D3" w:rsidP="00C71694">
      <w:pPr>
        <w:rPr>
          <w:color w:val="auto"/>
        </w:rPr>
      </w:pPr>
      <w:r w:rsidRPr="00A8388A">
        <w:rPr>
          <w:noProof/>
          <w:color w:val="auto"/>
        </w:rPr>
        <w:lastRenderedPageBreak/>
        <w:drawing>
          <wp:inline distT="0" distB="0" distL="0" distR="0" wp14:anchorId="307B338C" wp14:editId="5202DB67">
            <wp:extent cx="5337175" cy="3404235"/>
            <wp:effectExtent l="0" t="0" r="0" b="5715"/>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37175" cy="3404235"/>
                    </a:xfrm>
                    <a:prstGeom prst="rect">
                      <a:avLst/>
                    </a:prstGeom>
                  </pic:spPr>
                </pic:pic>
              </a:graphicData>
            </a:graphic>
          </wp:inline>
        </w:drawing>
      </w:r>
    </w:p>
    <w:p w14:paraId="0E18A6FE" w14:textId="7F7EDDE0" w:rsidR="003749D3" w:rsidRPr="00A8388A" w:rsidRDefault="003749D3" w:rsidP="003749D3">
      <w:pPr>
        <w:jc w:val="right"/>
        <w:rPr>
          <w:color w:val="auto"/>
        </w:rPr>
      </w:pPr>
      <w:r w:rsidRPr="00A8388A">
        <w:rPr>
          <w:noProof/>
          <w:color w:val="auto"/>
        </w:rPr>
        <w:drawing>
          <wp:inline distT="0" distB="0" distL="0" distR="0" wp14:anchorId="310B274D" wp14:editId="53E12615">
            <wp:extent cx="2781300" cy="270029"/>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929365" cy="284404"/>
                    </a:xfrm>
                    <a:prstGeom prst="rect">
                      <a:avLst/>
                    </a:prstGeom>
                  </pic:spPr>
                </pic:pic>
              </a:graphicData>
            </a:graphic>
          </wp:inline>
        </w:drawing>
      </w:r>
    </w:p>
    <w:p w14:paraId="6E020E34" w14:textId="31E7F6B9" w:rsidR="003749D3" w:rsidRPr="00A8388A" w:rsidRDefault="003749D3" w:rsidP="003749D3">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P.123. DOI : </w:t>
      </w:r>
      <w:hyperlink r:id="rId46" w:history="1">
        <w:r w:rsidRPr="00A8388A">
          <w:rPr>
            <w:color w:val="auto"/>
          </w:rPr>
          <w:t>https://doi.org/10.1787/10f0135f-fr</w:t>
        </w:r>
      </w:hyperlink>
      <w:r w:rsidRPr="00A8388A">
        <w:rPr>
          <w:color w:val="auto"/>
        </w:rPr>
        <w:t xml:space="preserve">. </w:t>
      </w:r>
    </w:p>
    <w:p w14:paraId="4112C9F2" w14:textId="5AB4B922" w:rsidR="003749D3" w:rsidRDefault="003749D3" w:rsidP="003749D3">
      <w:pPr>
        <w:rPr>
          <w:color w:val="auto"/>
        </w:rPr>
      </w:pPr>
    </w:p>
    <w:p w14:paraId="622F277D" w14:textId="460AD3F5" w:rsidR="00496ED9" w:rsidRDefault="00496ED9" w:rsidP="003749D3">
      <w:pPr>
        <w:rPr>
          <w:color w:val="auto"/>
        </w:rPr>
      </w:pPr>
    </w:p>
    <w:p w14:paraId="287226E9" w14:textId="3E4B885E" w:rsidR="00496ED9" w:rsidRDefault="00496ED9" w:rsidP="003749D3">
      <w:pPr>
        <w:rPr>
          <w:color w:val="auto"/>
        </w:rPr>
      </w:pPr>
    </w:p>
    <w:p w14:paraId="72BB622D" w14:textId="19B244FF" w:rsidR="00496ED9" w:rsidRDefault="00496ED9" w:rsidP="003749D3">
      <w:pPr>
        <w:rPr>
          <w:color w:val="auto"/>
        </w:rPr>
      </w:pPr>
    </w:p>
    <w:p w14:paraId="670DACCC" w14:textId="12AAF6DD" w:rsidR="00496ED9" w:rsidRDefault="00496ED9" w:rsidP="003749D3">
      <w:pPr>
        <w:rPr>
          <w:color w:val="auto"/>
        </w:rPr>
      </w:pPr>
    </w:p>
    <w:p w14:paraId="43CD2D37" w14:textId="314C61E9" w:rsidR="00496ED9" w:rsidRDefault="00496ED9" w:rsidP="003749D3">
      <w:pPr>
        <w:rPr>
          <w:color w:val="auto"/>
        </w:rPr>
      </w:pPr>
    </w:p>
    <w:p w14:paraId="5A54F3B2" w14:textId="0815DB85" w:rsidR="00496ED9" w:rsidRDefault="00496ED9" w:rsidP="003749D3">
      <w:pPr>
        <w:rPr>
          <w:color w:val="auto"/>
        </w:rPr>
      </w:pPr>
    </w:p>
    <w:p w14:paraId="4993275A" w14:textId="77777777" w:rsidR="00496ED9" w:rsidRPr="00A8388A" w:rsidRDefault="00496ED9" w:rsidP="003749D3">
      <w:pPr>
        <w:rPr>
          <w:color w:val="auto"/>
        </w:rPr>
      </w:pPr>
    </w:p>
    <w:p w14:paraId="440137DE" w14:textId="77777777" w:rsidR="00CA1748" w:rsidRPr="00A8388A" w:rsidRDefault="00CA1748" w:rsidP="00CA1748">
      <w:pPr>
        <w:rPr>
          <w:color w:val="auto"/>
        </w:rPr>
      </w:pPr>
      <w:r w:rsidRPr="00A8388A">
        <w:rPr>
          <w:noProof/>
          <w:color w:val="auto"/>
        </w:rPr>
        <w:lastRenderedPageBreak/>
        <w:drawing>
          <wp:inline distT="0" distB="0" distL="0" distR="0" wp14:anchorId="5ECB1F09" wp14:editId="31727A3B">
            <wp:extent cx="5337175" cy="2526665"/>
            <wp:effectExtent l="0" t="0" r="0" b="698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37175" cy="2526665"/>
                    </a:xfrm>
                    <a:prstGeom prst="rect">
                      <a:avLst/>
                    </a:prstGeom>
                  </pic:spPr>
                </pic:pic>
              </a:graphicData>
            </a:graphic>
          </wp:inline>
        </w:drawing>
      </w:r>
    </w:p>
    <w:p w14:paraId="7DC90A80" w14:textId="77777777" w:rsidR="00CA1748" w:rsidRPr="00A8388A" w:rsidRDefault="00CA1748" w:rsidP="00CA1748">
      <w:pPr>
        <w:rPr>
          <w:color w:val="auto"/>
        </w:rPr>
      </w:pPr>
      <w:r w:rsidRPr="00A8388A">
        <w:rPr>
          <w:noProof/>
          <w:color w:val="auto"/>
        </w:rPr>
        <w:drawing>
          <wp:inline distT="0" distB="0" distL="0" distR="0" wp14:anchorId="0FC7FABC" wp14:editId="05EAB4D9">
            <wp:extent cx="5337175" cy="154559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37175" cy="1545590"/>
                    </a:xfrm>
                    <a:prstGeom prst="rect">
                      <a:avLst/>
                    </a:prstGeom>
                  </pic:spPr>
                </pic:pic>
              </a:graphicData>
            </a:graphic>
          </wp:inline>
        </w:drawing>
      </w:r>
    </w:p>
    <w:p w14:paraId="24A4BBF3" w14:textId="77777777" w:rsidR="00CA1748" w:rsidRPr="00A8388A" w:rsidRDefault="00CA1748" w:rsidP="00CA1748">
      <w:pPr>
        <w:ind w:left="360"/>
        <w:jc w:val="right"/>
        <w:rPr>
          <w:color w:val="auto"/>
        </w:rPr>
      </w:pPr>
      <w:r w:rsidRPr="00A8388A">
        <w:rPr>
          <w:color w:val="auto"/>
        </w:rPr>
        <w:t xml:space="preserve">Source : OCDE (2019), </w:t>
      </w:r>
      <w:r w:rsidRPr="00A8388A">
        <w:rPr>
          <w:i/>
          <w:iCs/>
          <w:color w:val="auto"/>
        </w:rPr>
        <w:t>Etudes économiques de l’OCDE : France 2019</w:t>
      </w:r>
      <w:r w:rsidRPr="00A8388A">
        <w:rPr>
          <w:color w:val="auto"/>
        </w:rPr>
        <w:t xml:space="preserve">, Editions OCDE, Paris. P.110. DOI : </w:t>
      </w:r>
      <w:hyperlink r:id="rId49" w:history="1">
        <w:r w:rsidRPr="00A8388A">
          <w:rPr>
            <w:color w:val="auto"/>
          </w:rPr>
          <w:t>https://doi.org/10.1787/10f0135f-fr</w:t>
        </w:r>
      </w:hyperlink>
      <w:r w:rsidRPr="00A8388A">
        <w:rPr>
          <w:color w:val="auto"/>
        </w:rPr>
        <w:t xml:space="preserve">. </w:t>
      </w:r>
    </w:p>
    <w:p w14:paraId="7BBFFB55" w14:textId="77777777" w:rsidR="00C71694" w:rsidRPr="00A8388A" w:rsidRDefault="00C71694" w:rsidP="00C71694">
      <w:pPr>
        <w:rPr>
          <w:color w:val="auto"/>
        </w:rPr>
      </w:pPr>
    </w:p>
    <w:p w14:paraId="1C3360B3" w14:textId="06E309B2" w:rsidR="004479A8" w:rsidRPr="00A8388A" w:rsidRDefault="00642555">
      <w:pPr>
        <w:jc w:val="both"/>
        <w:rPr>
          <w:color w:val="auto"/>
        </w:rPr>
      </w:pPr>
      <w:r w:rsidRPr="00A8388A">
        <w:rPr>
          <w:color w:val="auto"/>
        </w:rPr>
        <w:t>On pourrait alors penser que</w:t>
      </w:r>
      <w:r w:rsidR="00E2653A" w:rsidRPr="00A8388A">
        <w:rPr>
          <w:color w:val="auto"/>
        </w:rPr>
        <w:t xml:space="preserve"> </w:t>
      </w:r>
      <w:r w:rsidRPr="00A8388A">
        <w:rPr>
          <w:b/>
          <w:bCs/>
          <w:color w:val="auto"/>
        </w:rPr>
        <w:t>l</w:t>
      </w:r>
      <w:r w:rsidR="00E2653A" w:rsidRPr="00A8388A">
        <w:rPr>
          <w:b/>
          <w:bCs/>
          <w:color w:val="auto"/>
        </w:rPr>
        <w:t>es partenaires sociaux</w:t>
      </w:r>
      <w:r w:rsidRPr="00A8388A">
        <w:rPr>
          <w:color w:val="auto"/>
        </w:rPr>
        <w:t xml:space="preserve"> </w:t>
      </w:r>
      <w:r w:rsidR="0000009C" w:rsidRPr="00A8388A">
        <w:rPr>
          <w:color w:val="auto"/>
        </w:rPr>
        <w:t xml:space="preserve">devraient </w:t>
      </w:r>
      <w:r w:rsidRPr="00A8388A">
        <w:rPr>
          <w:color w:val="auto"/>
        </w:rPr>
        <w:t>s’empare</w:t>
      </w:r>
      <w:r w:rsidR="0000009C" w:rsidRPr="00A8388A">
        <w:rPr>
          <w:color w:val="auto"/>
        </w:rPr>
        <w:t>r</w:t>
      </w:r>
      <w:r w:rsidRPr="00A8388A">
        <w:rPr>
          <w:color w:val="auto"/>
        </w:rPr>
        <w:t xml:space="preserve"> de ce problème mais il faut, pour cela, comprendre le syndicalisme à la française et en quoi il fait partie du paradoxe</w:t>
      </w:r>
      <w:r w:rsidR="009D2A09" w:rsidRPr="00A8388A">
        <w:rPr>
          <w:color w:val="auto"/>
        </w:rPr>
        <w:t xml:space="preserve"> du modèle français</w:t>
      </w:r>
      <w:r w:rsidRPr="00A8388A">
        <w:rPr>
          <w:color w:val="auto"/>
        </w:rPr>
        <w:t>.</w:t>
      </w:r>
    </w:p>
    <w:p w14:paraId="163BE2C4" w14:textId="7E22F7B1" w:rsidR="00777E1F" w:rsidRPr="00A8388A" w:rsidRDefault="009D2A09">
      <w:pPr>
        <w:jc w:val="both"/>
        <w:rPr>
          <w:color w:val="auto"/>
        </w:rPr>
      </w:pPr>
      <w:r w:rsidRPr="00A8388A">
        <w:rPr>
          <w:color w:val="auto"/>
        </w:rPr>
        <w:t>Le syndicalisme e</w:t>
      </w:r>
      <w:r w:rsidR="00E2653A" w:rsidRPr="00A8388A">
        <w:rPr>
          <w:color w:val="auto"/>
        </w:rPr>
        <w:t xml:space="preserve">n </w:t>
      </w:r>
      <w:r w:rsidRPr="00A8388A">
        <w:rPr>
          <w:color w:val="auto"/>
        </w:rPr>
        <w:t xml:space="preserve">France a une particularité car son </w:t>
      </w:r>
      <w:r w:rsidR="00E2653A" w:rsidRPr="00A8388A">
        <w:rPr>
          <w:color w:val="auto"/>
        </w:rPr>
        <w:t xml:space="preserve">poids et </w:t>
      </w:r>
      <w:r w:rsidRPr="00A8388A">
        <w:rPr>
          <w:color w:val="auto"/>
        </w:rPr>
        <w:t>sa</w:t>
      </w:r>
      <w:r w:rsidR="00E2653A" w:rsidRPr="00A8388A">
        <w:rPr>
          <w:color w:val="auto"/>
        </w:rPr>
        <w:t xml:space="preserve"> capacité de négociation ne dépend</w:t>
      </w:r>
      <w:r w:rsidRPr="00A8388A">
        <w:rPr>
          <w:color w:val="auto"/>
        </w:rPr>
        <w:t>ent</w:t>
      </w:r>
      <w:r w:rsidR="00E2653A" w:rsidRPr="00A8388A">
        <w:rPr>
          <w:color w:val="auto"/>
        </w:rPr>
        <w:t xml:space="preserve"> pas des effectifs </w:t>
      </w:r>
      <w:r w:rsidR="00E3072C" w:rsidRPr="00A8388A">
        <w:rPr>
          <w:color w:val="auto"/>
        </w:rPr>
        <w:t xml:space="preserve">syndiqués </w:t>
      </w:r>
      <w:r w:rsidR="00E2653A" w:rsidRPr="00A8388A">
        <w:rPr>
          <w:color w:val="auto"/>
        </w:rPr>
        <w:t xml:space="preserve">mais des résultats </w:t>
      </w:r>
      <w:r w:rsidR="00B3394D" w:rsidRPr="00A8388A">
        <w:rPr>
          <w:color w:val="auto"/>
        </w:rPr>
        <w:t>aux</w:t>
      </w:r>
      <w:r w:rsidR="00E2653A" w:rsidRPr="00A8388A">
        <w:rPr>
          <w:color w:val="auto"/>
        </w:rPr>
        <w:t xml:space="preserve"> élections. </w:t>
      </w:r>
      <w:r w:rsidR="006A2835" w:rsidRPr="00A8388A">
        <w:rPr>
          <w:color w:val="auto"/>
        </w:rPr>
        <w:t>De plus</w:t>
      </w:r>
      <w:r w:rsidR="00E2653A" w:rsidRPr="00A8388A">
        <w:rPr>
          <w:color w:val="auto"/>
        </w:rPr>
        <w:t xml:space="preserve">, être syndiqué en France ne donne pas de droits particuliers. </w:t>
      </w:r>
      <w:r w:rsidR="00E3072C" w:rsidRPr="00A8388A">
        <w:rPr>
          <w:color w:val="auto"/>
        </w:rPr>
        <w:t xml:space="preserve">Si les syndicats obtiennent </w:t>
      </w:r>
      <w:r w:rsidR="00B026C1">
        <w:rPr>
          <w:color w:val="auto"/>
        </w:rPr>
        <w:t>un accord</w:t>
      </w:r>
      <w:r w:rsidR="00E3072C" w:rsidRPr="00A8388A">
        <w:rPr>
          <w:color w:val="auto"/>
        </w:rPr>
        <w:t xml:space="preserve"> alors tout le monde est gagnant (et pas uniquement ceux qui sont syndiqués), ce qui n’est pas le cas dans d’autres pays. </w:t>
      </w:r>
      <w:r w:rsidR="00681D8A" w:rsidRPr="00A8388A">
        <w:rPr>
          <w:color w:val="auto"/>
        </w:rPr>
        <w:t xml:space="preserve">Enfin, les syndicats ne sont pas financés uniquement par les cotisations, ils </w:t>
      </w:r>
      <w:r w:rsidR="002562C8">
        <w:rPr>
          <w:color w:val="auto"/>
        </w:rPr>
        <w:t xml:space="preserve">le </w:t>
      </w:r>
      <w:r w:rsidR="00681D8A" w:rsidRPr="00A8388A">
        <w:rPr>
          <w:color w:val="auto"/>
        </w:rPr>
        <w:t>sont également par des allocations de l’Etat, par les employeurs</w:t>
      </w:r>
      <w:r w:rsidR="006C736E">
        <w:rPr>
          <w:color w:val="auto"/>
        </w:rPr>
        <w:t xml:space="preserve"> et</w:t>
      </w:r>
      <w:r w:rsidR="00681D8A" w:rsidRPr="00A8388A">
        <w:rPr>
          <w:color w:val="auto"/>
        </w:rPr>
        <w:t xml:space="preserve"> par les organismes de gestion </w:t>
      </w:r>
      <w:r w:rsidR="008F6FDE">
        <w:rPr>
          <w:color w:val="auto"/>
        </w:rPr>
        <w:t xml:space="preserve">des </w:t>
      </w:r>
      <w:r w:rsidR="00681D8A" w:rsidRPr="00A8388A">
        <w:rPr>
          <w:color w:val="auto"/>
        </w:rPr>
        <w:t>droits sociaux</w:t>
      </w:r>
      <w:r w:rsidR="00E2653A" w:rsidRPr="00A8388A">
        <w:rPr>
          <w:color w:val="auto"/>
        </w:rPr>
        <w:t xml:space="preserve">. </w:t>
      </w:r>
    </w:p>
    <w:p w14:paraId="7A11636E" w14:textId="48D973A3" w:rsidR="004479A8" w:rsidRPr="00A8388A" w:rsidRDefault="00E2653A">
      <w:pPr>
        <w:jc w:val="both"/>
        <w:rPr>
          <w:color w:val="auto"/>
        </w:rPr>
      </w:pPr>
      <w:r w:rsidRPr="00A8388A">
        <w:rPr>
          <w:color w:val="auto"/>
        </w:rPr>
        <w:t>Cela explique un taux de syndicalisation</w:t>
      </w:r>
      <w:r w:rsidR="006A2835" w:rsidRPr="00A8388A">
        <w:rPr>
          <w:color w:val="auto"/>
        </w:rPr>
        <w:t xml:space="preserve"> </w:t>
      </w:r>
      <w:r w:rsidR="00432E48" w:rsidRPr="00A8388A">
        <w:rPr>
          <w:color w:val="auto"/>
        </w:rPr>
        <w:t>des salariés</w:t>
      </w:r>
      <w:r w:rsidRPr="00A8388A">
        <w:rPr>
          <w:color w:val="auto"/>
        </w:rPr>
        <w:t xml:space="preserve"> très faible en France comparativement à d’autres pays</w:t>
      </w:r>
      <w:r w:rsidR="00B80A0F" w:rsidRPr="00A8388A">
        <w:rPr>
          <w:color w:val="auto"/>
        </w:rPr>
        <w:t xml:space="preserve">. Le taux de syndicalisation en France est de </w:t>
      </w:r>
      <w:r w:rsidR="00FA4811" w:rsidRPr="00A8388A">
        <w:rPr>
          <w:color w:val="auto"/>
        </w:rPr>
        <w:t xml:space="preserve">8,8% en France contre 66,5% au Danemark </w:t>
      </w:r>
      <w:r w:rsidR="007736FE" w:rsidRPr="00A8388A">
        <w:rPr>
          <w:color w:val="auto"/>
        </w:rPr>
        <w:t xml:space="preserve">ou encore 50,3% en Belgique </w:t>
      </w:r>
      <w:r w:rsidR="00FA4811" w:rsidRPr="00A8388A">
        <w:rPr>
          <w:color w:val="auto"/>
        </w:rPr>
        <w:t>en 2018 d’après l’OCDE</w:t>
      </w:r>
      <w:r w:rsidR="006555F3" w:rsidRPr="00A8388A">
        <w:rPr>
          <w:rStyle w:val="Appelnotedebasdep"/>
          <w:color w:val="auto"/>
        </w:rPr>
        <w:footnoteReference w:id="15"/>
      </w:r>
      <w:r w:rsidRPr="00A8388A">
        <w:rPr>
          <w:color w:val="auto"/>
        </w:rPr>
        <w:t xml:space="preserve">. </w:t>
      </w:r>
      <w:r w:rsidR="00432E48" w:rsidRPr="00A8388A">
        <w:rPr>
          <w:color w:val="auto"/>
        </w:rPr>
        <w:t xml:space="preserve">Dans le même temps, on constate que le patronat, quant à lui, est </w:t>
      </w:r>
      <w:r w:rsidR="00777E1F" w:rsidRPr="00A8388A">
        <w:rPr>
          <w:color w:val="auto"/>
        </w:rPr>
        <w:t>assez</w:t>
      </w:r>
      <w:r w:rsidR="00432E48" w:rsidRPr="00A8388A">
        <w:rPr>
          <w:color w:val="auto"/>
        </w:rPr>
        <w:t xml:space="preserve"> fortement syndiqué.</w:t>
      </w:r>
    </w:p>
    <w:p w14:paraId="5C234FB7" w14:textId="52AA55EF" w:rsidR="004479A8" w:rsidRPr="00A8388A" w:rsidRDefault="0011270C">
      <w:pPr>
        <w:jc w:val="both"/>
        <w:rPr>
          <w:color w:val="auto"/>
        </w:rPr>
      </w:pPr>
      <w:r w:rsidRPr="00A8388A">
        <w:rPr>
          <w:color w:val="auto"/>
        </w:rPr>
        <w:t>Le principe du m</w:t>
      </w:r>
      <w:r w:rsidR="000657AE" w:rsidRPr="00A8388A">
        <w:rPr>
          <w:color w:val="auto"/>
        </w:rPr>
        <w:t>écanisme d’extension </w:t>
      </w:r>
      <w:r w:rsidRPr="00A8388A">
        <w:rPr>
          <w:color w:val="auto"/>
        </w:rPr>
        <w:t xml:space="preserve">des accords collectifs </w:t>
      </w:r>
      <w:r w:rsidR="00632E68">
        <w:rPr>
          <w:color w:val="auto"/>
        </w:rPr>
        <w:t>conduit</w:t>
      </w:r>
      <w:r w:rsidRPr="00A8388A">
        <w:rPr>
          <w:color w:val="auto"/>
        </w:rPr>
        <w:t xml:space="preserve"> </w:t>
      </w:r>
      <w:r w:rsidR="00632E68">
        <w:rPr>
          <w:color w:val="auto"/>
        </w:rPr>
        <w:t xml:space="preserve">ainsi à ce </w:t>
      </w:r>
      <w:r w:rsidRPr="00A8388A">
        <w:rPr>
          <w:color w:val="auto"/>
        </w:rPr>
        <w:t xml:space="preserve">que </w:t>
      </w:r>
      <w:r w:rsidR="000657AE" w:rsidRPr="00A8388A">
        <w:rPr>
          <w:color w:val="auto"/>
        </w:rPr>
        <w:t>100% des salariés so</w:t>
      </w:r>
      <w:r w:rsidR="00632E68">
        <w:rPr>
          <w:color w:val="auto"/>
        </w:rPr>
        <w:t>ie</w:t>
      </w:r>
      <w:r w:rsidR="000657AE" w:rsidRPr="00A8388A">
        <w:rPr>
          <w:color w:val="auto"/>
        </w:rPr>
        <w:t xml:space="preserve">nt couverts par </w:t>
      </w:r>
      <w:r w:rsidRPr="00A8388A">
        <w:rPr>
          <w:color w:val="auto"/>
        </w:rPr>
        <w:t xml:space="preserve">les accords </w:t>
      </w:r>
      <w:r w:rsidR="000657AE" w:rsidRPr="00A8388A">
        <w:rPr>
          <w:color w:val="auto"/>
        </w:rPr>
        <w:t>convention</w:t>
      </w:r>
      <w:r w:rsidRPr="00A8388A">
        <w:rPr>
          <w:color w:val="auto"/>
        </w:rPr>
        <w:t>nels</w:t>
      </w:r>
      <w:r w:rsidR="000657AE" w:rsidRPr="00A8388A">
        <w:rPr>
          <w:color w:val="auto"/>
        </w:rPr>
        <w:t xml:space="preserve">. Tous les </w:t>
      </w:r>
      <w:r w:rsidRPr="00A8388A">
        <w:rPr>
          <w:color w:val="auto"/>
        </w:rPr>
        <w:t xml:space="preserve">salariés </w:t>
      </w:r>
      <w:r w:rsidR="000657AE" w:rsidRPr="00A8388A">
        <w:rPr>
          <w:color w:val="auto"/>
        </w:rPr>
        <w:t xml:space="preserve">bénéficient </w:t>
      </w:r>
      <w:r w:rsidRPr="00A8388A">
        <w:rPr>
          <w:color w:val="auto"/>
        </w:rPr>
        <w:t xml:space="preserve">donc </w:t>
      </w:r>
      <w:r w:rsidR="000657AE" w:rsidRPr="00A8388A">
        <w:rPr>
          <w:color w:val="auto"/>
        </w:rPr>
        <w:lastRenderedPageBreak/>
        <w:t xml:space="preserve">des bénéfices obtenus </w:t>
      </w:r>
      <w:r w:rsidRPr="00A8388A">
        <w:rPr>
          <w:color w:val="auto"/>
        </w:rPr>
        <w:t xml:space="preserve">par les syndicats sans en supporter le coût. </w:t>
      </w:r>
      <w:r w:rsidR="00E2653A" w:rsidRPr="00A8388A">
        <w:rPr>
          <w:color w:val="auto"/>
        </w:rPr>
        <w:t>Ainsi l’influence des syndicats en France est forte</w:t>
      </w:r>
      <w:r w:rsidR="000657AE" w:rsidRPr="00A8388A">
        <w:rPr>
          <w:color w:val="auto"/>
        </w:rPr>
        <w:t>, politiquement et socialement</w:t>
      </w:r>
      <w:r w:rsidR="007246B7" w:rsidRPr="00A8388A">
        <w:rPr>
          <w:color w:val="auto"/>
        </w:rPr>
        <w:t>,</w:t>
      </w:r>
      <w:r w:rsidR="000657AE" w:rsidRPr="00A8388A">
        <w:rPr>
          <w:color w:val="auto"/>
        </w:rPr>
        <w:t xml:space="preserve"> </w:t>
      </w:r>
      <w:r w:rsidR="00E2653A" w:rsidRPr="00A8388A">
        <w:rPr>
          <w:color w:val="auto"/>
        </w:rPr>
        <w:t xml:space="preserve">mais leur représentativité est faible. </w:t>
      </w:r>
    </w:p>
    <w:p w14:paraId="51B60BAD" w14:textId="3D1A5723" w:rsidR="004479A8" w:rsidRPr="00A8388A" w:rsidRDefault="00E2653A">
      <w:pPr>
        <w:jc w:val="both"/>
        <w:rPr>
          <w:color w:val="auto"/>
        </w:rPr>
      </w:pPr>
      <w:r w:rsidRPr="00A8388A">
        <w:rPr>
          <w:color w:val="auto"/>
        </w:rPr>
        <w:t xml:space="preserve">Cette caractéristique a des conséquences </w:t>
      </w:r>
      <w:r w:rsidR="0079660A">
        <w:rPr>
          <w:color w:val="auto"/>
        </w:rPr>
        <w:t>sur</w:t>
      </w:r>
      <w:r w:rsidRPr="00A8388A">
        <w:rPr>
          <w:color w:val="auto"/>
        </w:rPr>
        <w:t xml:space="preserve"> les relations sociales. En effet, les études</w:t>
      </w:r>
      <w:r w:rsidR="004F0423" w:rsidRPr="00A8388A">
        <w:rPr>
          <w:color w:val="auto"/>
        </w:rPr>
        <w:t xml:space="preserve"> </w:t>
      </w:r>
      <w:r w:rsidRPr="00A8388A">
        <w:rPr>
          <w:color w:val="auto"/>
        </w:rPr>
        <w:t xml:space="preserve">montrent </w:t>
      </w:r>
      <w:r w:rsidR="006415BA" w:rsidRPr="00A8388A">
        <w:rPr>
          <w:color w:val="auto"/>
        </w:rPr>
        <w:t xml:space="preserve">une corrélation entre le taux de syndicalisation et </w:t>
      </w:r>
      <w:r w:rsidRPr="00A8388A">
        <w:rPr>
          <w:color w:val="auto"/>
        </w:rPr>
        <w:t>la qualité de la relation employeurs</w:t>
      </w:r>
      <w:r w:rsidR="007246B7" w:rsidRPr="00A8388A">
        <w:rPr>
          <w:color w:val="auto"/>
        </w:rPr>
        <w:t>-employés</w:t>
      </w:r>
      <w:r w:rsidR="004F0423" w:rsidRPr="00A8388A">
        <w:rPr>
          <w:color w:val="auto"/>
        </w:rPr>
        <w:t> ; cette dernière</w:t>
      </w:r>
      <w:r w:rsidRPr="00A8388A">
        <w:rPr>
          <w:color w:val="auto"/>
        </w:rPr>
        <w:t xml:space="preserve"> est considérée comme assez mauvaise en </w:t>
      </w:r>
      <w:r w:rsidR="004F0423" w:rsidRPr="00A8388A">
        <w:rPr>
          <w:color w:val="auto"/>
        </w:rPr>
        <w:t>France (OCDE)</w:t>
      </w:r>
      <w:r w:rsidRPr="00A8388A">
        <w:rPr>
          <w:color w:val="auto"/>
        </w:rPr>
        <w:t xml:space="preserve">. </w:t>
      </w:r>
      <w:r w:rsidR="004F0423" w:rsidRPr="00A8388A">
        <w:rPr>
          <w:color w:val="auto"/>
        </w:rPr>
        <w:t xml:space="preserve">C’est </w:t>
      </w:r>
      <w:r w:rsidR="001060C5" w:rsidRPr="00A8388A">
        <w:rPr>
          <w:color w:val="auto"/>
        </w:rPr>
        <w:t xml:space="preserve">également </w:t>
      </w:r>
      <w:r w:rsidR="004F0423" w:rsidRPr="00A8388A">
        <w:rPr>
          <w:color w:val="auto"/>
        </w:rPr>
        <w:t>l’objet du livre de Yann</w:t>
      </w:r>
      <w:r w:rsidRPr="00A8388A">
        <w:rPr>
          <w:color w:val="auto"/>
        </w:rPr>
        <w:t xml:space="preserve"> Algan et </w:t>
      </w:r>
      <w:r w:rsidR="004F0423" w:rsidRPr="00A8388A">
        <w:rPr>
          <w:color w:val="auto"/>
        </w:rPr>
        <w:t xml:space="preserve">Pierre </w:t>
      </w:r>
      <w:r w:rsidRPr="00A8388A">
        <w:rPr>
          <w:color w:val="auto"/>
        </w:rPr>
        <w:t>Cahuc</w:t>
      </w:r>
      <w:r w:rsidR="004F0423" w:rsidRPr="00A8388A">
        <w:rPr>
          <w:color w:val="auto"/>
        </w:rPr>
        <w:t xml:space="preserve"> en 2007</w:t>
      </w:r>
      <w:r w:rsidR="00806488" w:rsidRPr="00A8388A">
        <w:rPr>
          <w:rStyle w:val="Appelnotedebasdep"/>
          <w:color w:val="auto"/>
        </w:rPr>
        <w:footnoteReference w:id="16"/>
      </w:r>
      <w:r w:rsidRPr="00A8388A">
        <w:rPr>
          <w:color w:val="auto"/>
        </w:rPr>
        <w:t xml:space="preserve"> </w:t>
      </w:r>
      <w:r w:rsidR="004F0423" w:rsidRPr="00A8388A">
        <w:rPr>
          <w:color w:val="auto"/>
        </w:rPr>
        <w:t xml:space="preserve">qui </w:t>
      </w:r>
      <w:r w:rsidRPr="00A8388A">
        <w:rPr>
          <w:color w:val="auto"/>
        </w:rPr>
        <w:t xml:space="preserve">met en évidence </w:t>
      </w:r>
      <w:r w:rsidR="004F0423" w:rsidRPr="00A8388A">
        <w:rPr>
          <w:color w:val="auto"/>
        </w:rPr>
        <w:t xml:space="preserve">un lien entre taux de syndicalisation </w:t>
      </w:r>
      <w:r w:rsidR="001060C5" w:rsidRPr="00A8388A">
        <w:rPr>
          <w:color w:val="auto"/>
        </w:rPr>
        <w:t xml:space="preserve">(qui a </w:t>
      </w:r>
      <w:r w:rsidR="00006039">
        <w:rPr>
          <w:color w:val="auto"/>
        </w:rPr>
        <w:t xml:space="preserve">constamment </w:t>
      </w:r>
      <w:r w:rsidR="001060C5" w:rsidRPr="00A8388A">
        <w:rPr>
          <w:color w:val="auto"/>
        </w:rPr>
        <w:t>baissé en France sur 60 ans) et possibilité de faire confiance aux autres</w:t>
      </w:r>
      <w:r w:rsidR="005B7A0C">
        <w:rPr>
          <w:color w:val="auto"/>
        </w:rPr>
        <w:t xml:space="preserve"> ou encore entre</w:t>
      </w:r>
      <w:r w:rsidR="001060C5" w:rsidRPr="00A8388A">
        <w:rPr>
          <w:color w:val="auto"/>
        </w:rPr>
        <w:t xml:space="preserve"> taux de syndicalisation et salaire minimum (le faible taux de syndicalisation fait que l’Etat social doit prendre en charge le salaire minimum comme un mécanisme qu’il gouverne).</w:t>
      </w:r>
      <w:r w:rsidR="0036771F" w:rsidRPr="00A8388A">
        <w:rPr>
          <w:color w:val="auto"/>
        </w:rPr>
        <w:t xml:space="preserve"> L</w:t>
      </w:r>
      <w:r w:rsidRPr="00A8388A">
        <w:rPr>
          <w:color w:val="auto"/>
        </w:rPr>
        <w:t xml:space="preserve">’Etat se substitue </w:t>
      </w:r>
      <w:r w:rsidR="0036771F" w:rsidRPr="00A8388A">
        <w:rPr>
          <w:color w:val="auto"/>
        </w:rPr>
        <w:t xml:space="preserve">ainsi </w:t>
      </w:r>
      <w:r w:rsidRPr="00A8388A">
        <w:rPr>
          <w:color w:val="auto"/>
        </w:rPr>
        <w:t xml:space="preserve">aux syndicats </w:t>
      </w:r>
      <w:r w:rsidR="0036771F" w:rsidRPr="00A8388A">
        <w:rPr>
          <w:color w:val="auto"/>
        </w:rPr>
        <w:t xml:space="preserve">en France </w:t>
      </w:r>
      <w:r w:rsidRPr="00A8388A">
        <w:rPr>
          <w:color w:val="auto"/>
        </w:rPr>
        <w:t xml:space="preserve">(l’Etat prend en charge le salaire minimum ou encore l’assurance chômage). Cela peut également expliquer le nombre très important de personnes payées au SMIC à plein temps en France par rapport aux autres pays. </w:t>
      </w:r>
      <w:r w:rsidR="005B23A8" w:rsidRPr="00A8388A">
        <w:rPr>
          <w:color w:val="auto"/>
        </w:rPr>
        <w:t xml:space="preserve">Au 1er janvier 2019, 13,4 % des salariés </w:t>
      </w:r>
      <w:r w:rsidR="00344448" w:rsidRPr="00A8388A">
        <w:rPr>
          <w:color w:val="auto"/>
        </w:rPr>
        <w:t xml:space="preserve">du secteur privé </w:t>
      </w:r>
      <w:r w:rsidR="005B23A8" w:rsidRPr="00A8388A">
        <w:rPr>
          <w:color w:val="auto"/>
        </w:rPr>
        <w:t>ont bénéficié de la revalorisation du SMIC (source DARES)</w:t>
      </w:r>
      <w:r w:rsidR="006B3D8E" w:rsidRPr="00A8388A">
        <w:rPr>
          <w:rStyle w:val="Appelnotedebasdep"/>
          <w:color w:val="auto"/>
        </w:rPr>
        <w:footnoteReference w:id="17"/>
      </w:r>
      <w:r w:rsidR="005B23A8" w:rsidRPr="00A8388A">
        <w:rPr>
          <w:color w:val="auto"/>
        </w:rPr>
        <w:t xml:space="preserve">. </w:t>
      </w:r>
    </w:p>
    <w:p w14:paraId="4FEAD0C7" w14:textId="77777777" w:rsidR="004479A8" w:rsidRPr="00A8388A" w:rsidRDefault="004479A8">
      <w:pPr>
        <w:jc w:val="both"/>
        <w:rPr>
          <w:color w:val="auto"/>
        </w:rPr>
      </w:pPr>
    </w:p>
    <w:p w14:paraId="7E582F77" w14:textId="77777777" w:rsidR="00F4222F" w:rsidRPr="00A8388A" w:rsidRDefault="00F4222F">
      <w:pPr>
        <w:rPr>
          <w:b/>
          <w:bCs/>
          <w:color w:val="auto"/>
        </w:rPr>
      </w:pPr>
      <w:r w:rsidRPr="00A8388A">
        <w:rPr>
          <w:b/>
          <w:bCs/>
          <w:color w:val="auto"/>
        </w:rPr>
        <w:br w:type="page"/>
      </w:r>
    </w:p>
    <w:p w14:paraId="1821EBE2" w14:textId="15B447A2" w:rsidR="004479A8" w:rsidRPr="00A8388A" w:rsidRDefault="00F77DC9">
      <w:pPr>
        <w:jc w:val="both"/>
        <w:rPr>
          <w:b/>
          <w:bCs/>
          <w:color w:val="auto"/>
        </w:rPr>
      </w:pPr>
      <w:r w:rsidRPr="00A8388A">
        <w:rPr>
          <w:b/>
          <w:bCs/>
          <w:color w:val="auto"/>
        </w:rPr>
        <w:lastRenderedPageBreak/>
        <w:t>4</w:t>
      </w:r>
      <w:r w:rsidR="00E2653A" w:rsidRPr="00A8388A">
        <w:rPr>
          <w:b/>
          <w:bCs/>
          <w:color w:val="auto"/>
        </w:rPr>
        <w:t>/ L’insatisfaction par rapport au management</w:t>
      </w:r>
    </w:p>
    <w:p w14:paraId="6DA84436" w14:textId="551D7FA5" w:rsidR="001562A6" w:rsidRPr="00A8388A" w:rsidRDefault="00E2653A">
      <w:pPr>
        <w:jc w:val="both"/>
        <w:rPr>
          <w:color w:val="auto"/>
        </w:rPr>
      </w:pPr>
      <w:r w:rsidRPr="00A8388A">
        <w:rPr>
          <w:color w:val="auto"/>
        </w:rPr>
        <w:t xml:space="preserve">Il n’y a pas que le salaire qui mécontente les Français. </w:t>
      </w:r>
      <w:r w:rsidR="001562A6" w:rsidRPr="00A8388A">
        <w:rPr>
          <w:color w:val="auto"/>
        </w:rPr>
        <w:t>Les Français sont également insatisfaits à l’égard de leur management comme le montrent Dominique Meda et Patricia Vendramin</w:t>
      </w:r>
      <w:r w:rsidR="001562A6" w:rsidRPr="00A8388A">
        <w:rPr>
          <w:rStyle w:val="Appelnotedebasdep"/>
          <w:color w:val="auto"/>
        </w:rPr>
        <w:footnoteReference w:id="18"/>
      </w:r>
      <w:r w:rsidR="0086788A">
        <w:rPr>
          <w:color w:val="auto"/>
        </w:rPr>
        <w:t>.</w:t>
      </w:r>
    </w:p>
    <w:p w14:paraId="6862F61F" w14:textId="03C7129C" w:rsidR="00BF3831" w:rsidRPr="00A8388A" w:rsidRDefault="00635121">
      <w:pPr>
        <w:jc w:val="both"/>
        <w:rPr>
          <w:color w:val="auto"/>
        </w:rPr>
      </w:pPr>
      <w:r w:rsidRPr="00A8388A">
        <w:rPr>
          <w:color w:val="auto"/>
        </w:rPr>
        <w:t>Les études internationales montrent que l</w:t>
      </w:r>
      <w:r w:rsidR="00E2653A" w:rsidRPr="00A8388A">
        <w:rPr>
          <w:color w:val="auto"/>
        </w:rPr>
        <w:t xml:space="preserve">a France est classée </w:t>
      </w:r>
      <w:r w:rsidRPr="00A8388A">
        <w:rPr>
          <w:color w:val="auto"/>
        </w:rPr>
        <w:t xml:space="preserve">de façon plutôt honorable </w:t>
      </w:r>
      <w:r w:rsidR="00E2653A" w:rsidRPr="00A8388A">
        <w:rPr>
          <w:color w:val="auto"/>
        </w:rPr>
        <w:t xml:space="preserve">en termes de management </w:t>
      </w:r>
      <w:r w:rsidRPr="00A8388A">
        <w:rPr>
          <w:color w:val="auto"/>
        </w:rPr>
        <w:t xml:space="preserve">global mais </w:t>
      </w:r>
      <w:r w:rsidR="004C7D9E">
        <w:rPr>
          <w:color w:val="auto"/>
        </w:rPr>
        <w:t xml:space="preserve">que </w:t>
      </w:r>
      <w:r w:rsidRPr="00A8388A">
        <w:rPr>
          <w:color w:val="auto"/>
        </w:rPr>
        <w:t xml:space="preserve">le problème se situe au niveau de </w:t>
      </w:r>
      <w:r w:rsidR="00E2653A" w:rsidRPr="00A8388A">
        <w:rPr>
          <w:color w:val="auto"/>
        </w:rPr>
        <w:t>l’autonomie des salariés</w:t>
      </w:r>
      <w:r w:rsidRPr="00A8388A">
        <w:rPr>
          <w:color w:val="auto"/>
        </w:rPr>
        <w:t xml:space="preserve"> (« je dois référer à », décentralisation des décisions)</w:t>
      </w:r>
      <w:r w:rsidR="00E2653A" w:rsidRPr="00A8388A">
        <w:rPr>
          <w:color w:val="auto"/>
        </w:rPr>
        <w:t>.</w:t>
      </w:r>
      <w:r w:rsidR="00432E48" w:rsidRPr="00A8388A">
        <w:rPr>
          <w:rStyle w:val="Appelnotedebasdep"/>
          <w:color w:val="auto"/>
        </w:rPr>
        <w:footnoteReference w:id="19"/>
      </w:r>
      <w:r w:rsidR="00E2653A" w:rsidRPr="00A8388A">
        <w:rPr>
          <w:color w:val="auto"/>
        </w:rPr>
        <w:t xml:space="preserve"> Les relations hiérarchiques sont </w:t>
      </w:r>
      <w:r w:rsidR="005C6513" w:rsidRPr="00A8388A">
        <w:rPr>
          <w:color w:val="auto"/>
        </w:rPr>
        <w:t xml:space="preserve">donc </w:t>
      </w:r>
      <w:r w:rsidR="00E2653A" w:rsidRPr="00A8388A">
        <w:rPr>
          <w:color w:val="auto"/>
        </w:rPr>
        <w:t>fortes et les salariés sont assez peu autonomes dans la prise de décision.</w:t>
      </w:r>
      <w:r w:rsidR="00432E48" w:rsidRPr="00A8388A">
        <w:rPr>
          <w:rStyle w:val="Appelnotedebasdep"/>
          <w:color w:val="auto"/>
        </w:rPr>
        <w:footnoteReference w:id="20"/>
      </w:r>
    </w:p>
    <w:p w14:paraId="15268063" w14:textId="305979A4" w:rsidR="005C6513" w:rsidRPr="00A8388A" w:rsidRDefault="005C6513">
      <w:pPr>
        <w:jc w:val="both"/>
        <w:rPr>
          <w:color w:val="auto"/>
        </w:rPr>
      </w:pPr>
      <w:r w:rsidRPr="00A8388A">
        <w:rPr>
          <w:color w:val="auto"/>
        </w:rPr>
        <w:t xml:space="preserve">Face à ces insatisfactions, quelle posture les salariés peuvent-ils adopter ? Exit (le choix du travail indépendant), Voice (protester mais </w:t>
      </w:r>
      <w:r w:rsidR="00D756AC">
        <w:rPr>
          <w:color w:val="auto"/>
        </w:rPr>
        <w:t>sans connaître</w:t>
      </w:r>
      <w:r w:rsidRPr="00A8388A">
        <w:rPr>
          <w:color w:val="auto"/>
        </w:rPr>
        <w:t xml:space="preserve"> le contre-modèle) ou Loyalty (on </w:t>
      </w:r>
      <w:r w:rsidR="00505ACE">
        <w:rPr>
          <w:color w:val="auto"/>
        </w:rPr>
        <w:t>essaie</w:t>
      </w:r>
      <w:r w:rsidRPr="00A8388A">
        <w:rPr>
          <w:color w:val="auto"/>
        </w:rPr>
        <w:t xml:space="preserve"> de réformer en acceptant des compromis) ?</w:t>
      </w:r>
    </w:p>
    <w:p w14:paraId="3788E5DE" w14:textId="0073E394" w:rsidR="004479A8" w:rsidRPr="00A8388A" w:rsidRDefault="00057735">
      <w:pPr>
        <w:jc w:val="both"/>
        <w:rPr>
          <w:color w:val="auto"/>
        </w:rPr>
      </w:pPr>
      <w:r w:rsidRPr="00A8388A">
        <w:rPr>
          <w:color w:val="auto"/>
        </w:rPr>
        <w:t>Concernant les indépendants</w:t>
      </w:r>
      <w:r w:rsidR="00E621FF" w:rsidRPr="00A8388A">
        <w:rPr>
          <w:color w:val="auto"/>
        </w:rPr>
        <w:t xml:space="preserve">, </w:t>
      </w:r>
      <w:r w:rsidR="00F06FE2" w:rsidRPr="00A8388A">
        <w:rPr>
          <w:color w:val="auto"/>
        </w:rPr>
        <w:t xml:space="preserve">et contrairement aux salariés, </w:t>
      </w:r>
      <w:r w:rsidR="00E621FF" w:rsidRPr="00A8388A">
        <w:rPr>
          <w:color w:val="auto"/>
        </w:rPr>
        <w:t>P.M</w:t>
      </w:r>
      <w:r w:rsidR="007F2EA9">
        <w:rPr>
          <w:color w:val="auto"/>
        </w:rPr>
        <w:t>.</w:t>
      </w:r>
      <w:r w:rsidR="00E621FF" w:rsidRPr="00A8388A">
        <w:rPr>
          <w:color w:val="auto"/>
        </w:rPr>
        <w:t xml:space="preserve"> Menger recommande la lecture d</w:t>
      </w:r>
      <w:r w:rsidR="008A0E30" w:rsidRPr="00A8388A">
        <w:rPr>
          <w:color w:val="auto"/>
        </w:rPr>
        <w:t>’</w:t>
      </w:r>
      <w:r w:rsidR="00E621FF" w:rsidRPr="00A8388A">
        <w:rPr>
          <w:color w:val="auto"/>
        </w:rPr>
        <w:t xml:space="preserve">une étude de la DARES </w:t>
      </w:r>
      <w:r w:rsidR="00F06FE2" w:rsidRPr="00A8388A">
        <w:rPr>
          <w:color w:val="auto"/>
        </w:rPr>
        <w:t>de</w:t>
      </w:r>
      <w:r w:rsidR="00E621FF" w:rsidRPr="00A8388A">
        <w:rPr>
          <w:color w:val="auto"/>
        </w:rPr>
        <w:t xml:space="preserve"> 2005 sur le travail des </w:t>
      </w:r>
      <w:r w:rsidR="00F06FE2" w:rsidRPr="00A8388A">
        <w:rPr>
          <w:color w:val="auto"/>
        </w:rPr>
        <w:t>non-salariés</w:t>
      </w:r>
      <w:r w:rsidR="00E621FF" w:rsidRPr="00A8388A">
        <w:rPr>
          <w:rStyle w:val="Appelnotedebasdep"/>
          <w:color w:val="auto"/>
        </w:rPr>
        <w:footnoteReference w:id="21"/>
      </w:r>
      <w:r w:rsidR="00E621FF" w:rsidRPr="00A8388A">
        <w:rPr>
          <w:color w:val="auto"/>
        </w:rPr>
        <w:t xml:space="preserve">. </w:t>
      </w:r>
      <w:r w:rsidR="00F06FE2" w:rsidRPr="00A8388A">
        <w:rPr>
          <w:color w:val="auto"/>
        </w:rPr>
        <w:t>Ces derniers font face à p</w:t>
      </w:r>
      <w:r w:rsidR="00E621FF" w:rsidRPr="00A8388A">
        <w:rPr>
          <w:color w:val="auto"/>
        </w:rPr>
        <w:t>lus de risques</w:t>
      </w:r>
      <w:r w:rsidR="00F06FE2" w:rsidRPr="00A8388A">
        <w:rPr>
          <w:color w:val="auto"/>
        </w:rPr>
        <w:t xml:space="preserve"> que les salariés et ont un temps de travail plus important </w:t>
      </w:r>
      <w:r w:rsidR="00E621FF" w:rsidRPr="00A8388A">
        <w:rPr>
          <w:color w:val="auto"/>
        </w:rPr>
        <w:t xml:space="preserve">mais </w:t>
      </w:r>
      <w:r w:rsidR="00F06FE2" w:rsidRPr="00A8388A">
        <w:rPr>
          <w:color w:val="auto"/>
        </w:rPr>
        <w:t xml:space="preserve">bénéficient de </w:t>
      </w:r>
      <w:r w:rsidR="00E621FF" w:rsidRPr="00A8388A">
        <w:rPr>
          <w:color w:val="auto"/>
        </w:rPr>
        <w:t>plus d'autonomie</w:t>
      </w:r>
      <w:r w:rsidR="00F06FE2" w:rsidRPr="00A8388A">
        <w:rPr>
          <w:color w:val="auto"/>
        </w:rPr>
        <w:t>, ce qui</w:t>
      </w:r>
      <w:r w:rsidR="00E621FF" w:rsidRPr="00A8388A">
        <w:rPr>
          <w:color w:val="auto"/>
        </w:rPr>
        <w:t xml:space="preserve"> leur assure plus de satisfaction liée au travail.</w:t>
      </w:r>
    </w:p>
    <w:p w14:paraId="5A1ABD7F" w14:textId="77777777" w:rsidR="004479A8" w:rsidRPr="00A8388A" w:rsidRDefault="004479A8">
      <w:pPr>
        <w:jc w:val="both"/>
        <w:rPr>
          <w:color w:val="auto"/>
        </w:rPr>
      </w:pPr>
    </w:p>
    <w:p w14:paraId="4EE484D5" w14:textId="3D9F4988" w:rsidR="00AF77B3" w:rsidRPr="00A8388A" w:rsidRDefault="00AF77B3">
      <w:pPr>
        <w:rPr>
          <w:b/>
          <w:bCs/>
          <w:color w:val="auto"/>
        </w:rPr>
      </w:pPr>
    </w:p>
    <w:p w14:paraId="543F60D2" w14:textId="7433C306" w:rsidR="001562A6" w:rsidRPr="00A8388A" w:rsidRDefault="001562A6">
      <w:pPr>
        <w:rPr>
          <w:b/>
          <w:bCs/>
          <w:color w:val="auto"/>
        </w:rPr>
      </w:pPr>
      <w:r w:rsidRPr="00A8388A">
        <w:rPr>
          <w:b/>
          <w:bCs/>
          <w:color w:val="auto"/>
        </w:rPr>
        <w:br w:type="page"/>
      </w:r>
    </w:p>
    <w:p w14:paraId="2FC8B519" w14:textId="22D4AEB7" w:rsidR="004479A8" w:rsidRPr="00A8388A" w:rsidRDefault="00E2653A">
      <w:pPr>
        <w:jc w:val="both"/>
        <w:rPr>
          <w:b/>
          <w:bCs/>
          <w:color w:val="auto"/>
        </w:rPr>
      </w:pPr>
      <w:r w:rsidRPr="00A8388A">
        <w:rPr>
          <w:b/>
          <w:bCs/>
          <w:color w:val="auto"/>
        </w:rPr>
        <w:lastRenderedPageBreak/>
        <w:t>Questions</w:t>
      </w:r>
    </w:p>
    <w:p w14:paraId="5F9D4EF0" w14:textId="1FD5329A" w:rsidR="00C8312F" w:rsidRPr="00A8388A" w:rsidRDefault="00C8312F" w:rsidP="00A55D62">
      <w:pPr>
        <w:pStyle w:val="Paragraphedeliste"/>
        <w:numPr>
          <w:ilvl w:val="0"/>
          <w:numId w:val="20"/>
        </w:numPr>
        <w:spacing w:after="160" w:line="259" w:lineRule="auto"/>
        <w:jc w:val="both"/>
        <w:rPr>
          <w:color w:val="auto"/>
        </w:rPr>
      </w:pPr>
      <w:r w:rsidRPr="00A8388A">
        <w:rPr>
          <w:b/>
          <w:bCs/>
          <w:color w:val="auto"/>
        </w:rPr>
        <w:t>Le paradoxe français</w:t>
      </w:r>
      <w:r w:rsidRPr="00A8388A">
        <w:rPr>
          <w:color w:val="auto"/>
        </w:rPr>
        <w:t xml:space="preserve"> </w:t>
      </w:r>
      <w:r w:rsidR="00D431D6" w:rsidRPr="00A8388A">
        <w:rPr>
          <w:b/>
          <w:bCs/>
          <w:color w:val="auto"/>
        </w:rPr>
        <w:t>lié au travail</w:t>
      </w:r>
      <w:r w:rsidR="00D431D6" w:rsidRPr="00A8388A">
        <w:rPr>
          <w:color w:val="auto"/>
        </w:rPr>
        <w:t xml:space="preserve"> </w:t>
      </w:r>
      <w:r w:rsidRPr="00A8388A">
        <w:rPr>
          <w:color w:val="auto"/>
        </w:rPr>
        <w:t>de départ consiste dans le fait que les Français disent accorder beaucoup d’importance au travail mais ne veulent pas beaucoup travailler (en quantité) tout en souhaitant un salaire plus élevé etc. Donc finalement, l’importance accordée au travail semble se désagréger lorsque l’on analyse plus précisément les données liées au travail.</w:t>
      </w:r>
    </w:p>
    <w:p w14:paraId="0400D76C" w14:textId="31C86A49" w:rsidR="0055770D" w:rsidRPr="00A8388A" w:rsidRDefault="00D431D6" w:rsidP="0055770D">
      <w:pPr>
        <w:pStyle w:val="Paragraphedeliste"/>
        <w:numPr>
          <w:ilvl w:val="0"/>
          <w:numId w:val="20"/>
        </w:numPr>
        <w:spacing w:after="160" w:line="259" w:lineRule="auto"/>
        <w:jc w:val="both"/>
        <w:rPr>
          <w:color w:val="auto"/>
        </w:rPr>
      </w:pPr>
      <w:r w:rsidRPr="00A8388A">
        <w:rPr>
          <w:color w:val="auto"/>
        </w:rPr>
        <w:t xml:space="preserve">Lorsque l’on effectue des comparaisons, on cherche à tendre vers la meilleure situation possible dans toutes les dimensions mais </w:t>
      </w:r>
      <w:r w:rsidRPr="00A8388A">
        <w:rPr>
          <w:b/>
          <w:bCs/>
          <w:color w:val="auto"/>
        </w:rPr>
        <w:t>on ne peut pas obtenir de modèle</w:t>
      </w:r>
      <w:r w:rsidRPr="00A8388A">
        <w:rPr>
          <w:color w:val="auto"/>
        </w:rPr>
        <w:t xml:space="preserve"> car il est nécessaire de faire des trade-off sur certaines dimensions. Le modèle est forcément en tension à l’intérieur du pays mais également à l’échelle internationale. Par exemple, concernant les compétences qui sont aujourd’hui un carburant de l’économie et qui jouent un rôle très important dans la compétition internationale</w:t>
      </w:r>
      <w:r w:rsidR="003B7A6F" w:rsidRPr="00A8388A">
        <w:rPr>
          <w:color w:val="auto"/>
        </w:rPr>
        <w:t>,</w:t>
      </w:r>
      <w:r w:rsidRPr="00A8388A">
        <w:rPr>
          <w:color w:val="auto"/>
        </w:rPr>
        <w:t xml:space="preserve"> </w:t>
      </w:r>
      <w:r w:rsidR="00F9091F" w:rsidRPr="00A8388A">
        <w:rPr>
          <w:color w:val="auto"/>
        </w:rPr>
        <w:t>la Chine et la Corée</w:t>
      </w:r>
      <w:r w:rsidRPr="00A8388A">
        <w:rPr>
          <w:color w:val="auto"/>
        </w:rPr>
        <w:t xml:space="preserve"> ont d’excellents scores en termes d’acquisition de compétences et de valeur sur le marché du travail </w:t>
      </w:r>
      <w:r w:rsidR="00C962C5" w:rsidRPr="00A8388A">
        <w:rPr>
          <w:color w:val="auto"/>
        </w:rPr>
        <w:t xml:space="preserve">notamment </w:t>
      </w:r>
      <w:r w:rsidRPr="00A8388A">
        <w:rPr>
          <w:color w:val="auto"/>
        </w:rPr>
        <w:t xml:space="preserve">mais cela se fait au prix </w:t>
      </w:r>
      <w:r w:rsidR="00F9091F" w:rsidRPr="00A8388A">
        <w:rPr>
          <w:color w:val="auto"/>
        </w:rPr>
        <w:t xml:space="preserve">d’un système éducatif très sélectif et dans lequel l’effort dans l’intensité des études est très élevé. Le workaholisme des étudiants chinois ou coréens est de ce fait très important. La France n’accepterait pas cela. </w:t>
      </w:r>
    </w:p>
    <w:p w14:paraId="247F6653" w14:textId="37C3AF68" w:rsidR="0055770D" w:rsidRPr="00A8388A" w:rsidRDefault="0055770D" w:rsidP="0055770D">
      <w:pPr>
        <w:pStyle w:val="Paragraphedeliste"/>
        <w:numPr>
          <w:ilvl w:val="0"/>
          <w:numId w:val="20"/>
        </w:numPr>
        <w:spacing w:after="160" w:line="259" w:lineRule="auto"/>
        <w:jc w:val="both"/>
        <w:rPr>
          <w:color w:val="auto"/>
        </w:rPr>
      </w:pPr>
      <w:r w:rsidRPr="00A8388A">
        <w:rPr>
          <w:b/>
          <w:bCs/>
          <w:color w:val="auto"/>
        </w:rPr>
        <w:t>Qu’est-ce qu’être indépendant ?</w:t>
      </w:r>
      <w:r w:rsidRPr="00A8388A">
        <w:rPr>
          <w:color w:val="auto"/>
        </w:rPr>
        <w:t xml:space="preserve"> Être indépendant, c’est un risque mais c’est aussi une attitude à l’égard de l’effort et à l’égar</w:t>
      </w:r>
      <w:r w:rsidR="0092503C" w:rsidRPr="00A8388A">
        <w:rPr>
          <w:color w:val="auto"/>
        </w:rPr>
        <w:t>d</w:t>
      </w:r>
      <w:r w:rsidRPr="00A8388A">
        <w:rPr>
          <w:color w:val="auto"/>
        </w:rPr>
        <w:t xml:space="preserve"> du temps qui est complètement différent. </w:t>
      </w:r>
      <w:r w:rsidR="00A4077D" w:rsidRPr="00A8388A">
        <w:rPr>
          <w:color w:val="auto"/>
        </w:rPr>
        <w:t xml:space="preserve">Un célèbre modèle d’analyse en lien avec la psychologie sociale du travail, très intéressant sur le sujet, est le modèle de Karasek : pression et autonomie. C’est un modèle à 4 cases : les indépendants ont plus de pression mais aussi plus d’autonomie. Ils ont aussi plus de risque mais ont une attitude à l’égard du temps différente car ils accumulent du capital. </w:t>
      </w:r>
      <w:r w:rsidRPr="00A8388A">
        <w:rPr>
          <w:color w:val="auto"/>
        </w:rPr>
        <w:t>P.M</w:t>
      </w:r>
      <w:r w:rsidR="009C7640">
        <w:rPr>
          <w:color w:val="auto"/>
        </w:rPr>
        <w:t>.</w:t>
      </w:r>
      <w:r w:rsidRPr="00A8388A">
        <w:rPr>
          <w:color w:val="auto"/>
        </w:rPr>
        <w:t xml:space="preserve"> Menger recommande </w:t>
      </w:r>
      <w:r w:rsidR="00856959" w:rsidRPr="00A8388A">
        <w:rPr>
          <w:color w:val="auto"/>
        </w:rPr>
        <w:t xml:space="preserve">à ce sujet </w:t>
      </w:r>
      <w:r w:rsidRPr="00A8388A">
        <w:rPr>
          <w:color w:val="auto"/>
        </w:rPr>
        <w:t>la lecture d’une étude de la DARES de 2005 sur le travail des non-salariés</w:t>
      </w:r>
      <w:r w:rsidRPr="00A8388A">
        <w:rPr>
          <w:rStyle w:val="Appelnotedebasdep"/>
          <w:color w:val="auto"/>
        </w:rPr>
        <w:footnoteReference w:id="22"/>
      </w:r>
      <w:r w:rsidRPr="00A8388A">
        <w:rPr>
          <w:color w:val="auto"/>
        </w:rPr>
        <w:t>.</w:t>
      </w:r>
      <w:r w:rsidR="002A4617" w:rsidRPr="00A8388A">
        <w:rPr>
          <w:color w:val="auto"/>
        </w:rPr>
        <w:t xml:space="preserve"> Pourquoi n’a-t-on pas alors </w:t>
      </w:r>
      <w:r w:rsidR="007A29F7" w:rsidRPr="00A8388A">
        <w:rPr>
          <w:color w:val="auto"/>
        </w:rPr>
        <w:t xml:space="preserve">un </w:t>
      </w:r>
      <w:r w:rsidR="002A4617" w:rsidRPr="00A8388A">
        <w:rPr>
          <w:color w:val="auto"/>
        </w:rPr>
        <w:t>nombr</w:t>
      </w:r>
      <w:r w:rsidR="007A29F7" w:rsidRPr="00A8388A">
        <w:rPr>
          <w:color w:val="auto"/>
        </w:rPr>
        <w:t>e d’</w:t>
      </w:r>
      <w:r w:rsidR="002A4617" w:rsidRPr="00A8388A">
        <w:rPr>
          <w:color w:val="auto"/>
        </w:rPr>
        <w:t>indépendants </w:t>
      </w:r>
      <w:r w:rsidR="007A29F7" w:rsidRPr="00A8388A">
        <w:rPr>
          <w:color w:val="auto"/>
        </w:rPr>
        <w:t xml:space="preserve">plus important </w:t>
      </w:r>
      <w:r w:rsidR="002A4617" w:rsidRPr="00A8388A">
        <w:rPr>
          <w:color w:val="auto"/>
        </w:rPr>
        <w:t xml:space="preserve">? A cause de la couverture des risques sociaux mais c’est en train </w:t>
      </w:r>
      <w:r w:rsidR="00124AE2" w:rsidRPr="00A8388A">
        <w:rPr>
          <w:color w:val="auto"/>
        </w:rPr>
        <w:t>d’évoluer</w:t>
      </w:r>
      <w:r w:rsidR="007A64C9" w:rsidRPr="00A8388A">
        <w:rPr>
          <w:color w:val="auto"/>
        </w:rPr>
        <w:t xml:space="preserve"> aujourd’hui en partie (car le risque d’activité est difficile à assurer)</w:t>
      </w:r>
      <w:r w:rsidR="002A4617" w:rsidRPr="00A8388A">
        <w:rPr>
          <w:color w:val="auto"/>
        </w:rPr>
        <w:t>.</w:t>
      </w:r>
    </w:p>
    <w:p w14:paraId="7C2AC81E" w14:textId="2C1D1D57" w:rsidR="004479A8" w:rsidRPr="00A8388A" w:rsidRDefault="00876871" w:rsidP="006478A4">
      <w:pPr>
        <w:pStyle w:val="Paragraphedeliste"/>
        <w:numPr>
          <w:ilvl w:val="0"/>
          <w:numId w:val="20"/>
        </w:numPr>
        <w:spacing w:after="160" w:line="259" w:lineRule="auto"/>
        <w:jc w:val="both"/>
        <w:rPr>
          <w:color w:val="auto"/>
        </w:rPr>
      </w:pPr>
      <w:r w:rsidRPr="00A8388A">
        <w:rPr>
          <w:b/>
          <w:bCs/>
          <w:color w:val="auto"/>
        </w:rPr>
        <w:t>La révolution numérique va-t-elle révolutionner le rapport au travail ?</w:t>
      </w:r>
      <w:r w:rsidRPr="00A8388A">
        <w:rPr>
          <w:color w:val="auto"/>
        </w:rPr>
        <w:t xml:space="preserve"> </w:t>
      </w:r>
      <w:r w:rsidR="00BD30C5" w:rsidRPr="00A8388A">
        <w:rPr>
          <w:color w:val="auto"/>
        </w:rPr>
        <w:t xml:space="preserve">Va-t-elle aliéner (taylorisme digital) ou désaliéner le travail ? Il y a </w:t>
      </w:r>
      <w:r w:rsidR="00FD0E95" w:rsidRPr="00A8388A">
        <w:rPr>
          <w:color w:val="auto"/>
        </w:rPr>
        <w:t xml:space="preserve">beaucoup de choses </w:t>
      </w:r>
      <w:r w:rsidR="00BD30C5" w:rsidRPr="00A8388A">
        <w:rPr>
          <w:color w:val="auto"/>
        </w:rPr>
        <w:t>dans ce que l’on appelle la révolution numérique et notamment le taylorisme numérique (</w:t>
      </w:r>
      <w:r w:rsidR="00CB6F0C" w:rsidRPr="00A8388A">
        <w:rPr>
          <w:color w:val="auto"/>
        </w:rPr>
        <w:t xml:space="preserve">les </w:t>
      </w:r>
      <w:r w:rsidR="00BD30C5" w:rsidRPr="00A8388A">
        <w:rPr>
          <w:color w:val="auto"/>
        </w:rPr>
        <w:t xml:space="preserve">travailleurs des plateformes). A ce sujet, P.M. Menger recommande la lecture de son ouvrage collectif (sous la direction de Menger et Paye), </w:t>
      </w:r>
      <w:r w:rsidR="00BD30C5" w:rsidRPr="00A8388A">
        <w:rPr>
          <w:i/>
          <w:iCs/>
          <w:color w:val="auto"/>
        </w:rPr>
        <w:t>Big Data et la traçabilité numérique</w:t>
      </w:r>
      <w:r w:rsidR="00BD30C5" w:rsidRPr="00A8388A">
        <w:rPr>
          <w:color w:val="auto"/>
        </w:rPr>
        <w:t xml:space="preserve">, aux éditions du Collège de France, 2017. </w:t>
      </w:r>
      <w:r w:rsidR="008C2ED9" w:rsidRPr="00A8388A">
        <w:rPr>
          <w:color w:val="auto"/>
        </w:rPr>
        <w:t>Dans cet ouvrage, il décrit l’expérience professionnelle de jeunes adultes qui travaillent pour les plateformes numériques et dont le travail est constamment monitoré et c</w:t>
      </w:r>
      <w:r w:rsidR="00435841" w:rsidRPr="00A8388A">
        <w:rPr>
          <w:color w:val="auto"/>
        </w:rPr>
        <w:t>o</w:t>
      </w:r>
      <w:r w:rsidR="008C2ED9" w:rsidRPr="00A8388A">
        <w:rPr>
          <w:color w:val="auto"/>
        </w:rPr>
        <w:t>té à la seconde. Il évoque</w:t>
      </w:r>
      <w:r w:rsidR="006D3211" w:rsidRPr="00A8388A">
        <w:rPr>
          <w:color w:val="auto"/>
        </w:rPr>
        <w:t>,</w:t>
      </w:r>
      <w:r w:rsidR="008C2ED9" w:rsidRPr="00A8388A">
        <w:rPr>
          <w:color w:val="auto"/>
        </w:rPr>
        <w:t xml:space="preserve"> à ce propos</w:t>
      </w:r>
      <w:r w:rsidR="006D3211" w:rsidRPr="00A8388A">
        <w:rPr>
          <w:color w:val="auto"/>
        </w:rPr>
        <w:t>,</w:t>
      </w:r>
      <w:r w:rsidR="008C2ED9" w:rsidRPr="00A8388A">
        <w:rPr>
          <w:color w:val="auto"/>
        </w:rPr>
        <w:t xml:space="preserve"> l’expérience d’un jeune </w:t>
      </w:r>
      <w:r w:rsidR="006D3211" w:rsidRPr="00A8388A">
        <w:rPr>
          <w:color w:val="auto"/>
        </w:rPr>
        <w:t xml:space="preserve">homme </w:t>
      </w:r>
      <w:r w:rsidR="008C2ED9" w:rsidRPr="00A8388A">
        <w:rPr>
          <w:color w:val="auto"/>
        </w:rPr>
        <w:t>qui, dans ces conditions, et parce qu’il est très bon, joue avec le système et gagne un salaire</w:t>
      </w:r>
      <w:r w:rsidR="00F1294E">
        <w:rPr>
          <w:color w:val="auto"/>
        </w:rPr>
        <w:t xml:space="preserve"> </w:t>
      </w:r>
      <w:r w:rsidR="008C2ED9" w:rsidRPr="00A8388A">
        <w:rPr>
          <w:color w:val="auto"/>
        </w:rPr>
        <w:t>considérable (4000 à 5000 euros) sans avoir l’impression de travailler</w:t>
      </w:r>
      <w:r w:rsidR="008C2ED9" w:rsidRPr="00A8388A">
        <w:rPr>
          <w:rStyle w:val="Appelnotedebasdep"/>
          <w:color w:val="auto"/>
        </w:rPr>
        <w:footnoteReference w:id="23"/>
      </w:r>
      <w:r w:rsidR="008C2ED9" w:rsidRPr="00A8388A">
        <w:rPr>
          <w:color w:val="auto"/>
        </w:rPr>
        <w:t xml:space="preserve"> (il travaille également au McDonalds en </w:t>
      </w:r>
      <w:r w:rsidR="00B274DE" w:rsidRPr="00A8388A">
        <w:rPr>
          <w:color w:val="auto"/>
        </w:rPr>
        <w:t>parallèle</w:t>
      </w:r>
      <w:r w:rsidR="008C2ED9" w:rsidRPr="00A8388A">
        <w:rPr>
          <w:color w:val="auto"/>
        </w:rPr>
        <w:t>). Ainsi</w:t>
      </w:r>
      <w:r w:rsidRPr="00A8388A">
        <w:rPr>
          <w:color w:val="auto"/>
        </w:rPr>
        <w:t xml:space="preserve"> la collecte des datas, la contribution des internautes à la collecte et au tri des datas est un travail, parfois</w:t>
      </w:r>
      <w:r w:rsidR="00F1294E">
        <w:rPr>
          <w:color w:val="auto"/>
        </w:rPr>
        <w:t xml:space="preserve"> </w:t>
      </w:r>
      <w:r w:rsidRPr="00A8388A">
        <w:rPr>
          <w:color w:val="auto"/>
        </w:rPr>
        <w:t xml:space="preserve">très rémunérateur, mais ce n’est pas nécessairement considéré comme un travail par ceux qui le pratiquent. </w:t>
      </w:r>
      <w:r w:rsidR="008C2ED9" w:rsidRPr="00A8388A">
        <w:rPr>
          <w:color w:val="auto"/>
        </w:rPr>
        <w:t xml:space="preserve">Cependant d’autres jeunes peuvent être broyés par le système </w:t>
      </w:r>
      <w:r w:rsidR="006750DD" w:rsidRPr="00A8388A">
        <w:rPr>
          <w:color w:val="auto"/>
        </w:rPr>
        <w:t>parce qu’</w:t>
      </w:r>
      <w:r w:rsidR="008C2ED9" w:rsidRPr="00A8388A">
        <w:rPr>
          <w:color w:val="auto"/>
        </w:rPr>
        <w:t xml:space="preserve">ils ne sont pas assez bons, </w:t>
      </w:r>
      <w:r w:rsidR="006750DD" w:rsidRPr="00A8388A">
        <w:rPr>
          <w:color w:val="auto"/>
        </w:rPr>
        <w:t xml:space="preserve">parce </w:t>
      </w:r>
      <w:r w:rsidR="008C2ED9" w:rsidRPr="00A8388A">
        <w:rPr>
          <w:color w:val="auto"/>
        </w:rPr>
        <w:t>qu’ils ne travaillent pas assez vite</w:t>
      </w:r>
      <w:r w:rsidRPr="00A8388A">
        <w:rPr>
          <w:color w:val="auto"/>
        </w:rPr>
        <w:t xml:space="preserve">. </w:t>
      </w:r>
      <w:r w:rsidR="008C2ED9" w:rsidRPr="00A8388A">
        <w:rPr>
          <w:color w:val="auto"/>
        </w:rPr>
        <w:t xml:space="preserve">Donc, </w:t>
      </w:r>
      <w:r w:rsidR="00D24A96" w:rsidRPr="00A8388A">
        <w:rPr>
          <w:color w:val="auto"/>
        </w:rPr>
        <w:t xml:space="preserve">la révolution numérique conduit au développement des </w:t>
      </w:r>
      <w:r w:rsidR="00693021" w:rsidRPr="00A8388A">
        <w:rPr>
          <w:color w:val="auto"/>
        </w:rPr>
        <w:t xml:space="preserve">faux indépendants ubérisés d’un côté, </w:t>
      </w:r>
      <w:r w:rsidR="005402FF" w:rsidRPr="00A8388A">
        <w:rPr>
          <w:color w:val="auto"/>
        </w:rPr>
        <w:t>à l’apparition des</w:t>
      </w:r>
      <w:r w:rsidR="00693021" w:rsidRPr="00A8388A">
        <w:rPr>
          <w:color w:val="auto"/>
        </w:rPr>
        <w:t xml:space="preserve"> travailleurs augmentés </w:t>
      </w:r>
      <w:r w:rsidR="00BD5313" w:rsidRPr="00A8388A">
        <w:rPr>
          <w:color w:val="auto"/>
        </w:rPr>
        <w:t xml:space="preserve">d’un </w:t>
      </w:r>
      <w:r w:rsidR="00BD5313" w:rsidRPr="00A8388A">
        <w:rPr>
          <w:color w:val="auto"/>
        </w:rPr>
        <w:lastRenderedPageBreak/>
        <w:t>autre côté</w:t>
      </w:r>
      <w:r w:rsidR="00693021" w:rsidRPr="00A8388A">
        <w:rPr>
          <w:color w:val="auto"/>
        </w:rPr>
        <w:t xml:space="preserve"> (</w:t>
      </w:r>
      <w:r w:rsidR="003126BA" w:rsidRPr="00A8388A">
        <w:rPr>
          <w:color w:val="auto"/>
        </w:rPr>
        <w:t xml:space="preserve">ce qui constituera probablement le </w:t>
      </w:r>
      <w:r w:rsidR="00693021" w:rsidRPr="00A8388A">
        <w:rPr>
          <w:color w:val="auto"/>
        </w:rPr>
        <w:t xml:space="preserve">sauvetage de la classe moyenne) et </w:t>
      </w:r>
      <w:r w:rsidR="00BB416F" w:rsidRPr="00A8388A">
        <w:rPr>
          <w:color w:val="auto"/>
        </w:rPr>
        <w:t>au développement d’</w:t>
      </w:r>
      <w:r w:rsidR="00BD5313" w:rsidRPr="00A8388A">
        <w:rPr>
          <w:color w:val="auto"/>
        </w:rPr>
        <w:t xml:space="preserve">une </w:t>
      </w:r>
      <w:r w:rsidR="00693021" w:rsidRPr="00A8388A">
        <w:rPr>
          <w:color w:val="auto"/>
        </w:rPr>
        <w:t xml:space="preserve">compétition </w:t>
      </w:r>
      <w:r w:rsidR="00BD5313" w:rsidRPr="00A8388A">
        <w:rPr>
          <w:color w:val="auto"/>
        </w:rPr>
        <w:t xml:space="preserve">mondiale féroce </w:t>
      </w:r>
      <w:r w:rsidR="00693021" w:rsidRPr="00A8388A">
        <w:rPr>
          <w:color w:val="auto"/>
        </w:rPr>
        <w:t xml:space="preserve">pour la haute qualification. </w:t>
      </w:r>
      <w:r w:rsidR="00AB1B39" w:rsidRPr="00A8388A">
        <w:rPr>
          <w:color w:val="auto"/>
        </w:rPr>
        <w:t>Cette</w:t>
      </w:r>
      <w:r w:rsidR="00693021" w:rsidRPr="00A8388A">
        <w:rPr>
          <w:color w:val="auto"/>
        </w:rPr>
        <w:t xml:space="preserve"> révolution n’écrase pas les inégalités, </w:t>
      </w:r>
      <w:r w:rsidR="00AB1B39" w:rsidRPr="00A8388A">
        <w:rPr>
          <w:color w:val="auto"/>
        </w:rPr>
        <w:t xml:space="preserve">elle </w:t>
      </w:r>
      <w:r w:rsidR="00693021" w:rsidRPr="00A8388A">
        <w:rPr>
          <w:color w:val="auto"/>
        </w:rPr>
        <w:t xml:space="preserve">peut </w:t>
      </w:r>
      <w:r w:rsidR="006E61F2" w:rsidRPr="00A8388A">
        <w:rPr>
          <w:color w:val="auto"/>
        </w:rPr>
        <w:t xml:space="preserve">même </w:t>
      </w:r>
      <w:r w:rsidR="00693021" w:rsidRPr="00A8388A">
        <w:rPr>
          <w:color w:val="auto"/>
        </w:rPr>
        <w:t>les augmenter mais elle peut aussi</w:t>
      </w:r>
      <w:r w:rsidR="00AB1B39" w:rsidRPr="00A8388A">
        <w:rPr>
          <w:color w:val="auto"/>
        </w:rPr>
        <w:t xml:space="preserve"> rendre le travail </w:t>
      </w:r>
      <w:r w:rsidR="00693021" w:rsidRPr="00A8388A">
        <w:rPr>
          <w:color w:val="auto"/>
        </w:rPr>
        <w:t xml:space="preserve">formateur. </w:t>
      </w:r>
      <w:r w:rsidR="006E61F2" w:rsidRPr="00A8388A">
        <w:rPr>
          <w:color w:val="auto"/>
        </w:rPr>
        <w:t>Cette idée lui vient d’un auteur américain, Sherwin Rosen</w:t>
      </w:r>
      <w:r w:rsidR="006E61F2" w:rsidRPr="00A8388A">
        <w:rPr>
          <w:rStyle w:val="Appelnotedebasdep"/>
          <w:color w:val="auto"/>
        </w:rPr>
        <w:footnoteReference w:id="24"/>
      </w:r>
      <w:r w:rsidR="006E61F2" w:rsidRPr="00A8388A">
        <w:rPr>
          <w:color w:val="auto"/>
        </w:rPr>
        <w:t>, qui décrit le « learning content of work » pour désigner la quantité d’éléments appris dans le cadre de notre travail et qui nous permet de nous modifier nous-mêmes. Nous</w:t>
      </w:r>
      <w:r w:rsidR="00693021" w:rsidRPr="00A8388A">
        <w:rPr>
          <w:color w:val="auto"/>
        </w:rPr>
        <w:t xml:space="preserve"> p</w:t>
      </w:r>
      <w:r w:rsidR="006E61F2" w:rsidRPr="00A8388A">
        <w:rPr>
          <w:color w:val="auto"/>
        </w:rPr>
        <w:t>ouvons</w:t>
      </w:r>
      <w:r w:rsidR="00693021" w:rsidRPr="00A8388A">
        <w:rPr>
          <w:color w:val="auto"/>
        </w:rPr>
        <w:t xml:space="preserve"> extraire </w:t>
      </w:r>
      <w:r w:rsidR="006E61F2" w:rsidRPr="00A8388A">
        <w:rPr>
          <w:color w:val="auto"/>
        </w:rPr>
        <w:t xml:space="preserve">de chaque acte de travail </w:t>
      </w:r>
      <w:r w:rsidR="00693021" w:rsidRPr="00A8388A">
        <w:rPr>
          <w:color w:val="auto"/>
        </w:rPr>
        <w:t xml:space="preserve">un contenu qui nous forme. </w:t>
      </w:r>
      <w:r w:rsidR="00BD002C" w:rsidRPr="00A8388A">
        <w:rPr>
          <w:color w:val="auto"/>
        </w:rPr>
        <w:t>Il s’agit là d’</w:t>
      </w:r>
      <w:r w:rsidR="00693021" w:rsidRPr="00A8388A">
        <w:rPr>
          <w:color w:val="auto"/>
        </w:rPr>
        <w:t>une mé</w:t>
      </w:r>
      <w:r w:rsidR="00711AD7" w:rsidRPr="00A8388A">
        <w:rPr>
          <w:color w:val="auto"/>
        </w:rPr>
        <w:t>t</w:t>
      </w:r>
      <w:r w:rsidR="00693021" w:rsidRPr="00A8388A">
        <w:rPr>
          <w:color w:val="auto"/>
        </w:rPr>
        <w:t>a</w:t>
      </w:r>
      <w:r w:rsidR="00BD002C" w:rsidRPr="00A8388A">
        <w:rPr>
          <w:color w:val="auto"/>
        </w:rPr>
        <w:t>-</w:t>
      </w:r>
      <w:r w:rsidR="00693021" w:rsidRPr="00A8388A">
        <w:rPr>
          <w:color w:val="auto"/>
        </w:rPr>
        <w:t xml:space="preserve">compétence que l’on retrouve dans les métiers artistiques notamment. </w:t>
      </w:r>
      <w:r w:rsidR="00184366" w:rsidRPr="00A8388A">
        <w:rPr>
          <w:color w:val="auto"/>
        </w:rPr>
        <w:t>C’est également ce que disaient Hegel et Marx</w:t>
      </w:r>
      <w:r w:rsidR="0053498C" w:rsidRPr="00A8388A">
        <w:rPr>
          <w:color w:val="auto"/>
        </w:rPr>
        <w:t xml:space="preserve"> d’une certaine manière</w:t>
      </w:r>
      <w:r w:rsidR="00184366" w:rsidRPr="00A8388A">
        <w:rPr>
          <w:color w:val="auto"/>
        </w:rPr>
        <w:t>. La valeur positive du travail est liée à cela</w:t>
      </w:r>
      <w:r w:rsidR="006478A4" w:rsidRPr="00A8388A">
        <w:rPr>
          <w:color w:val="auto"/>
        </w:rPr>
        <w:t>, aux défis que l’on se lance. Mais il faut pour cela, une culture de l’erreur tolérable. Or, dans le système français hiérarchisé, l’erreur est peu tolérée. Il faudrait dès lors peut-être adopter une culture pragmatique de l’erreur.</w:t>
      </w:r>
    </w:p>
    <w:p w14:paraId="104C2DFF" w14:textId="77777777" w:rsidR="004479A8" w:rsidRPr="00A8388A" w:rsidRDefault="004479A8">
      <w:pPr>
        <w:rPr>
          <w:color w:val="auto"/>
        </w:rPr>
      </w:pPr>
    </w:p>
    <w:p w14:paraId="558D564B" w14:textId="77777777" w:rsidR="004479A8" w:rsidRPr="00A8388A" w:rsidRDefault="004479A8">
      <w:pPr>
        <w:rPr>
          <w:color w:val="auto"/>
        </w:rPr>
      </w:pPr>
    </w:p>
    <w:p w14:paraId="2A34601A" w14:textId="77777777" w:rsidR="00F4222F" w:rsidRPr="00A8388A" w:rsidRDefault="00F4222F">
      <w:pPr>
        <w:rPr>
          <w:smallCaps/>
          <w:color w:val="auto"/>
          <w:spacing w:val="10"/>
          <w:sz w:val="48"/>
          <w:szCs w:val="48"/>
        </w:rPr>
      </w:pPr>
      <w:r w:rsidRPr="00A8388A">
        <w:rPr>
          <w:color w:val="auto"/>
        </w:rPr>
        <w:br w:type="page"/>
      </w:r>
    </w:p>
    <w:p w14:paraId="36578BA7" w14:textId="77777777" w:rsidR="004479A8" w:rsidRPr="00A8388A" w:rsidRDefault="00E2653A">
      <w:pPr>
        <w:pStyle w:val="Titre"/>
        <w:jc w:val="center"/>
        <w:rPr>
          <w:color w:val="auto"/>
        </w:rPr>
      </w:pPr>
      <w:r w:rsidRPr="00A8388A">
        <w:rPr>
          <w:color w:val="auto"/>
        </w:rPr>
        <w:lastRenderedPageBreak/>
        <w:t>annexe 1</w:t>
      </w:r>
    </w:p>
    <w:p w14:paraId="57956713" w14:textId="77777777" w:rsidR="004479A8" w:rsidRPr="00A8388A" w:rsidRDefault="00E2653A">
      <w:pPr>
        <w:pStyle w:val="Default"/>
        <w:pBdr>
          <w:top w:val="single" w:sz="4" w:space="1" w:color="auto"/>
          <w:left w:val="single" w:sz="4" w:space="4" w:color="auto"/>
          <w:bottom w:val="single" w:sz="4" w:space="1" w:color="auto"/>
          <w:right w:val="single" w:sz="4" w:space="4" w:color="auto"/>
          <w:between w:val="single" w:sz="4" w:space="1" w:color="auto"/>
        </w:pBdr>
        <w:jc w:val="center"/>
        <w:rPr>
          <w:color w:val="auto"/>
          <w:sz w:val="22"/>
          <w:szCs w:val="22"/>
        </w:rPr>
      </w:pPr>
      <w:r w:rsidRPr="00A8388A">
        <w:rPr>
          <w:b/>
          <w:bCs/>
          <w:color w:val="auto"/>
          <w:sz w:val="22"/>
          <w:szCs w:val="22"/>
        </w:rPr>
        <w:t xml:space="preserve">Sociologie et science politique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0"/>
        <w:gridCol w:w="6653"/>
      </w:tblGrid>
      <w:tr w:rsidR="004479A8" w:rsidRPr="00A8388A" w14:paraId="7690D32A" w14:textId="77777777">
        <w:trPr>
          <w:trHeight w:val="2961"/>
        </w:trPr>
        <w:tc>
          <w:tcPr>
            <w:tcW w:w="0" w:type="auto"/>
          </w:tcPr>
          <w:p w14:paraId="19A022D7" w14:textId="77777777" w:rsidR="004479A8" w:rsidRPr="00A8388A" w:rsidRDefault="00E2653A">
            <w:pPr>
              <w:pStyle w:val="Default"/>
              <w:rPr>
                <w:color w:val="auto"/>
                <w:sz w:val="22"/>
                <w:szCs w:val="22"/>
              </w:rPr>
            </w:pPr>
            <w:r w:rsidRPr="00A8388A">
              <w:rPr>
                <w:b/>
                <w:bCs/>
                <w:color w:val="auto"/>
                <w:sz w:val="22"/>
                <w:szCs w:val="22"/>
              </w:rPr>
              <w:t xml:space="preserve">Quelles mutations du travail et de l’emploi ? </w:t>
            </w:r>
          </w:p>
        </w:tc>
        <w:tc>
          <w:tcPr>
            <w:tcW w:w="0" w:type="auto"/>
          </w:tcPr>
          <w:p w14:paraId="2F654AE7" w14:textId="77777777" w:rsidR="004479A8" w:rsidRPr="00A8388A" w:rsidRDefault="004479A8">
            <w:pPr>
              <w:pStyle w:val="Default"/>
              <w:rPr>
                <w:color w:val="auto"/>
              </w:rPr>
            </w:pPr>
          </w:p>
          <w:p w14:paraId="5BF74D9E" w14:textId="77777777" w:rsidR="004479A8" w:rsidRPr="00A8388A" w:rsidRDefault="00E2653A">
            <w:pPr>
              <w:pStyle w:val="Default"/>
              <w:rPr>
                <w:color w:val="auto"/>
                <w:sz w:val="22"/>
                <w:szCs w:val="22"/>
              </w:rPr>
            </w:pPr>
            <w:r w:rsidRPr="00A8388A">
              <w:rPr>
                <w:rFonts w:ascii="Times New Roman" w:hAnsi="Times New Roman" w:cs="Times New Roman"/>
                <w:b/>
                <w:bCs/>
                <w:color w:val="auto"/>
                <w:sz w:val="23"/>
                <w:szCs w:val="23"/>
              </w:rPr>
              <w:t xml:space="preserve">- </w:t>
            </w:r>
            <w:r w:rsidRPr="00A8388A">
              <w:rPr>
                <w:color w:val="auto"/>
                <w:sz w:val="22"/>
                <w:szCs w:val="22"/>
              </w:rPr>
              <w:t xml:space="preserve">Savoir distinguer les notions de travail, activité, statut d’emploi (salarié, non-salarié), chômage ; comprendre que les évolutions des formes d’emploi rendent plus incertaines les frontières entre emploi, chômage et inactivité. </w:t>
            </w:r>
          </w:p>
          <w:p w14:paraId="39698E1A" w14:textId="77777777" w:rsidR="004479A8" w:rsidRPr="00A8388A" w:rsidRDefault="00E2653A">
            <w:pPr>
              <w:pStyle w:val="Default"/>
              <w:rPr>
                <w:color w:val="auto"/>
                <w:sz w:val="22"/>
                <w:szCs w:val="22"/>
              </w:rPr>
            </w:pPr>
            <w:r w:rsidRPr="00A8388A">
              <w:rPr>
                <w:rFonts w:ascii="Times New Roman" w:hAnsi="Times New Roman" w:cs="Times New Roman"/>
                <w:b/>
                <w:bCs/>
                <w:color w:val="auto"/>
                <w:sz w:val="23"/>
                <w:szCs w:val="23"/>
              </w:rPr>
              <w:t xml:space="preserve">- </w:t>
            </w:r>
            <w:r w:rsidRPr="00A8388A">
              <w:rPr>
                <w:color w:val="auto"/>
                <w:sz w:val="22"/>
                <w:szCs w:val="22"/>
              </w:rPr>
              <w:t xml:space="preserve">Connaître les principaux descripteurs de la qualité des emplois (conditions de travail, niveau de salaire, sécurité économique, horizon de carrière, potentiel de formation, variété des tâches). </w:t>
            </w:r>
          </w:p>
          <w:p w14:paraId="217D3DE9" w14:textId="77777777" w:rsidR="004479A8" w:rsidRPr="00A8388A" w:rsidRDefault="00E2653A">
            <w:pPr>
              <w:pStyle w:val="Default"/>
              <w:rPr>
                <w:color w:val="auto"/>
                <w:sz w:val="22"/>
                <w:szCs w:val="22"/>
              </w:rPr>
            </w:pPr>
            <w:r w:rsidRPr="00A8388A">
              <w:rPr>
                <w:rFonts w:ascii="Times New Roman" w:hAnsi="Times New Roman" w:cs="Times New Roman"/>
                <w:b/>
                <w:bCs/>
                <w:color w:val="auto"/>
                <w:sz w:val="23"/>
                <w:szCs w:val="23"/>
              </w:rPr>
              <w:t xml:space="preserve">- </w:t>
            </w:r>
            <w:r w:rsidRPr="00A8388A">
              <w:rPr>
                <w:color w:val="auto"/>
                <w:sz w:val="22"/>
                <w:szCs w:val="22"/>
              </w:rPr>
              <w:t xml:space="preserve">Comprendre les principales caractéristiques des modèles d’organisation taylorien (division du travail horizontale et verticale, relation hiérarchique stricte) et post-taylorien (flexibilité, recomposition des tâches, management participatif) ; comprendre les effets positifs et négatifs de l’évolution des formes de l’organisation du travail sur les conditions de travail. </w:t>
            </w:r>
          </w:p>
          <w:p w14:paraId="5CBCCB8A" w14:textId="77777777" w:rsidR="004479A8" w:rsidRPr="00A8388A" w:rsidRDefault="00E2653A">
            <w:pPr>
              <w:pStyle w:val="Default"/>
              <w:rPr>
                <w:color w:val="auto"/>
                <w:sz w:val="22"/>
                <w:szCs w:val="22"/>
              </w:rPr>
            </w:pPr>
            <w:r w:rsidRPr="00A8388A">
              <w:rPr>
                <w:rFonts w:ascii="Times New Roman" w:hAnsi="Times New Roman" w:cs="Times New Roman"/>
                <w:b/>
                <w:bCs/>
                <w:color w:val="auto"/>
                <w:sz w:val="23"/>
                <w:szCs w:val="23"/>
              </w:rPr>
              <w:t xml:space="preserve">- </w:t>
            </w:r>
            <w:r w:rsidRPr="00A8388A">
              <w:rPr>
                <w:color w:val="auto"/>
                <w:sz w:val="22"/>
                <w:szCs w:val="22"/>
              </w:rPr>
              <w:t xml:space="preserve">Comprendre comment le numérique brouille les frontières du travail (télétravail, travail / hors travail), transforme les relations d’emploi et accroît les risques de polarisation des emplois. </w:t>
            </w:r>
          </w:p>
          <w:p w14:paraId="51D95A4D" w14:textId="77777777" w:rsidR="004479A8" w:rsidRPr="00A8388A" w:rsidRDefault="00E2653A">
            <w:pPr>
              <w:pStyle w:val="Default"/>
              <w:rPr>
                <w:color w:val="auto"/>
                <w:sz w:val="22"/>
                <w:szCs w:val="22"/>
              </w:rPr>
            </w:pPr>
            <w:r w:rsidRPr="00A8388A">
              <w:rPr>
                <w:rFonts w:ascii="Times New Roman" w:hAnsi="Times New Roman" w:cs="Times New Roman"/>
                <w:b/>
                <w:bCs/>
                <w:color w:val="auto"/>
                <w:sz w:val="23"/>
                <w:szCs w:val="23"/>
              </w:rPr>
              <w:t xml:space="preserve">- </w:t>
            </w:r>
            <w:r w:rsidRPr="00A8388A">
              <w:rPr>
                <w:color w:val="auto"/>
                <w:sz w:val="22"/>
                <w:szCs w:val="22"/>
              </w:rPr>
              <w:t xml:space="preserve">Comprendre que le travail est source d’intégration sociale et que certaines évolutions de l’emploi (précarisation, taux persistant de chômage élevé, polarisation de la qualité des emplois) peuvent affaiblir ce pouvoir intégrateur. </w:t>
            </w:r>
          </w:p>
          <w:p w14:paraId="1A6A2EC4" w14:textId="77777777" w:rsidR="004479A8" w:rsidRPr="00A8388A" w:rsidRDefault="004479A8">
            <w:pPr>
              <w:pStyle w:val="Default"/>
              <w:rPr>
                <w:color w:val="auto"/>
                <w:sz w:val="22"/>
                <w:szCs w:val="22"/>
              </w:rPr>
            </w:pPr>
          </w:p>
        </w:tc>
      </w:tr>
    </w:tbl>
    <w:p w14:paraId="2D01FAC7" w14:textId="77777777" w:rsidR="004479A8" w:rsidRPr="00A8388A" w:rsidRDefault="004479A8">
      <w:pPr>
        <w:pStyle w:val="Titre"/>
        <w:jc w:val="center"/>
        <w:rPr>
          <w:color w:val="auto"/>
        </w:rPr>
      </w:pPr>
    </w:p>
    <w:sectPr w:rsidR="004479A8" w:rsidRPr="00A8388A" w:rsidSect="00B30EE6">
      <w:headerReference w:type="default" r:id="rId50"/>
      <w:footerReference w:type="default" r:id="rId51"/>
      <w:pgSz w:w="11907" w:h="16839"/>
      <w:pgMar w:top="1440" w:right="1751" w:bottom="1440" w:left="1751" w:header="709" w:footer="45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DC9A4F" w14:textId="77777777" w:rsidR="00CD5734" w:rsidRDefault="00CD5734">
      <w:pPr>
        <w:spacing w:after="0" w:line="240" w:lineRule="auto"/>
      </w:pPr>
      <w:r>
        <w:separator/>
      </w:r>
    </w:p>
  </w:endnote>
  <w:endnote w:type="continuationSeparator" w:id="0">
    <w:p w14:paraId="16208551" w14:textId="77777777" w:rsidR="00CD5734" w:rsidRDefault="00CD5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F10E6" w14:textId="7C615AB2" w:rsidR="008C2ED9" w:rsidRDefault="008C2ED9">
    <w:pPr>
      <w:pStyle w:val="Pieddepage1"/>
    </w:pPr>
    <w:r>
      <w:fldChar w:fldCharType="begin"/>
    </w:r>
    <w:r>
      <w:instrText>PAGE</w:instrText>
    </w:r>
    <w:r>
      <w:fldChar w:fldCharType="separate"/>
    </w:r>
    <w:r>
      <w:rPr>
        <w:noProof/>
      </w:rPr>
      <w:t>10</w:t>
    </w:r>
    <w:r>
      <w:fldChar w:fldCharType="end"/>
    </w:r>
    <w:r>
      <w:rPr>
        <w:noProof/>
      </w:rPr>
      <mc:AlternateContent>
        <mc:Choice Requires="wps">
          <w:drawing>
            <wp:inline distT="0" distB="0" distL="0" distR="0" wp14:anchorId="7C981A8A" wp14:editId="7B941E75">
              <wp:extent cx="91440" cy="91440"/>
              <wp:effectExtent l="20320" t="20320" r="21590" b="21590"/>
              <wp:docPr id="1"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91440" cy="91440"/>
                      </a:xfrm>
                      <a:prstGeom prst="ellipse">
                        <a:avLst/>
                      </a:prstGeom>
                      <a:noFill/>
                      <a:ln w="38100" cmpd="dbl">
                        <a:solidFill>
                          <a:schemeClr val="accent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inline>
          </w:drawing>
        </mc:Choice>
        <mc:Fallback>
          <w:pict>
            <v:oval w14:anchorId="15DCA1E0" id="Ellipse 12" o:spid="_x0000_s1026" style="width:7.2pt;height:7.2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t5MAIAAFYEAAAOAAAAZHJzL2Uyb0RvYy54bWysVF9v0zAQf0fiO1h+p2lLgRE1naZuA6QB&#10;kwYf4Go7jYXjM7bTdHx6znYoHbwh8mCd78/v7n53zvry2Bt2UD5otA1fzOacKStQartv+Ncvty8u&#10;OAsRrASDVjX8UQV+uXn+bD26Wi2xQyOVZwRiQz26hncxurqqguhUD2GGTlkytuh7iHT1+0p6GAm9&#10;N9VyPn9djeil8yhUCKS9Lka+yfhtq0T83LZBRWYaTrXFfPp87tJZbdZQ7z24ToupDPiHKnrQlpKe&#10;oK4hAhu8/guq18JjwDbOBPYVtq0WKvdA3Szmf3Tz0IFTuRciJ7gTTeH/wYpPh3vPtKTZcWahpxHd&#10;GKNdUGyxTOyMLtTk9ODufeovuDsU3wKzuO3A7tWV9zh2CiTVtEj+1ZOAdAkUynbjR5QEDkPETNSx&#10;9T1rKdP7FJigiQx2zJN5PE1GHSMTpHy7WK1ofIIsRUyZoE4gKdT5EN8p7FkSGq5KBxkVDnchFu9f&#10;XinC4q02hvRQG8vGhr+8WMxTht4RF3JncnBAo2VyTH55J9XWeHYA2iYQQtlYSjdDT+0VPcHQVxaL&#10;9LR+RZ9VVPMJJnfwJIPHwcpcU2L0ZpIjaFNkijZ2ojixWqazQ/lIDHssy02PkYQO/Q/ORlrshofv&#10;A3jFmflgaUoTlTFfVq/eLKlrf27ZnVvACoJqeOSsiNtYXs/gvN53lKkwYPGKJtvqTHWaeqlqKpaW&#10;N3c7PbT0Os7v2ev372DzEwAA//8DAFBLAwQUAAYACAAAACEAn8vDu9gAAAADAQAADwAAAGRycy9k&#10;b3ducmV2LnhtbEyPMW/CMBCF90r8B+sqdStOEaogjYMQEgywtIGB8RJfk4B9jmID6b+vaYd2uafT&#10;O733XbYYrBFX6n3rWMHLOAFBXDndcq3gsF8/z0D4gKzROCYFX+RhkY8eMky1u/EHXYtQixjCPkUF&#10;TQhdKqWvGrLox64jjt6n6y2GuPa11D3eYrg1cpIkr9Jiy7GhwY5WDVXn4mIVTMJpuzaHXXVq33fH&#10;7WZemHK2UurpcVi+gQg0hL9juONHdMgjU+kurL0wCuIj4WfevekURPmrMs/kf/b8GwAA//8DAFBL&#10;AQItABQABgAIAAAAIQC2gziS/gAAAOEBAAATAAAAAAAAAAAAAAAAAAAAAABbQ29udGVudF9UeXBl&#10;c10ueG1sUEsBAi0AFAAGAAgAAAAhADj9If/WAAAAlAEAAAsAAAAAAAAAAAAAAAAALwEAAF9yZWxz&#10;Ly5yZWxzUEsBAi0AFAAGAAgAAAAhABZtq3kwAgAAVgQAAA4AAAAAAAAAAAAAAAAALgIAAGRycy9l&#10;Mm9Eb2MueG1sUEsBAi0AFAAGAAgAAAAhAJ/Lw7vYAAAAAwEAAA8AAAAAAAAAAAAAAAAAigQAAGRy&#10;cy9kb3ducmV2LnhtbFBLBQYAAAAABAAEAPMAAACPBQAAAAA=&#10;" filled="f" strokecolor="#0f6fc6 [3204]" strokeweight="3pt">
              <v:stroke linestyle="thinThin"/>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077415" w14:textId="77777777" w:rsidR="00CD5734" w:rsidRDefault="00CD5734">
      <w:pPr>
        <w:spacing w:after="0" w:line="240" w:lineRule="auto"/>
      </w:pPr>
      <w:r>
        <w:separator/>
      </w:r>
    </w:p>
  </w:footnote>
  <w:footnote w:type="continuationSeparator" w:id="0">
    <w:p w14:paraId="6C2125F2" w14:textId="77777777" w:rsidR="00CD5734" w:rsidRDefault="00CD5734">
      <w:pPr>
        <w:spacing w:after="0" w:line="240" w:lineRule="auto"/>
      </w:pPr>
      <w:r>
        <w:continuationSeparator/>
      </w:r>
    </w:p>
  </w:footnote>
  <w:footnote w:id="1">
    <w:p w14:paraId="7AD99436" w14:textId="51E36D35" w:rsidR="008C2ED9" w:rsidRPr="00A65B7F" w:rsidRDefault="008C2ED9" w:rsidP="00EA134A">
      <w:pPr>
        <w:pStyle w:val="Notedebasdepage"/>
        <w:spacing w:after="0"/>
        <w:rPr>
          <w:i/>
          <w:color w:val="4FCDFF" w:themeColor="accent2" w:themeTint="99"/>
        </w:rPr>
      </w:pPr>
      <w:r>
        <w:rPr>
          <w:rStyle w:val="Appelnotedebasdep"/>
        </w:rPr>
        <w:footnoteRef/>
      </w:r>
      <w:r>
        <w:rPr>
          <w:color w:val="auto"/>
        </w:rPr>
        <w:t xml:space="preserve"> PM </w:t>
      </w:r>
      <w:r w:rsidRPr="00C42139">
        <w:rPr>
          <w:color w:val="auto"/>
        </w:rPr>
        <w:t>Menger cite à cet égard J. Habermas</w:t>
      </w:r>
      <w:r>
        <w:rPr>
          <w:color w:val="auto"/>
        </w:rPr>
        <w:t> :</w:t>
      </w:r>
      <w:r w:rsidRPr="00C42139">
        <w:rPr>
          <w:color w:val="auto"/>
        </w:rPr>
        <w:t xml:space="preserve"> "Malgré les charges qui demeurent attachées au statut protecteur du travail salarié subordonné, le citoyen est, en tant que client des bureaucraties de l'Etat Providence, habilité à des revendications légitimes en termes de droits et reçoit</w:t>
      </w:r>
      <w:r w:rsidR="001E67BF">
        <w:rPr>
          <w:color w:val="auto"/>
        </w:rPr>
        <w:t>,</w:t>
      </w:r>
      <w:r w:rsidRPr="00C42139">
        <w:rPr>
          <w:color w:val="auto"/>
        </w:rPr>
        <w:t xml:space="preserve"> </w:t>
      </w:r>
      <w:r>
        <w:rPr>
          <w:color w:val="auto"/>
        </w:rPr>
        <w:t>dans son rôle de consommateur de biens de la production de masse</w:t>
      </w:r>
      <w:r w:rsidR="001E67BF">
        <w:rPr>
          <w:color w:val="auto"/>
        </w:rPr>
        <w:t>,</w:t>
      </w:r>
      <w:r>
        <w:rPr>
          <w:color w:val="auto"/>
        </w:rPr>
        <w:t xml:space="preserve"> </w:t>
      </w:r>
      <w:r w:rsidRPr="00C42139">
        <w:rPr>
          <w:color w:val="auto"/>
        </w:rPr>
        <w:t>du pouvoir d'achat</w:t>
      </w:r>
      <w:r w:rsidR="001E67BF">
        <w:rPr>
          <w:color w:val="auto"/>
        </w:rPr>
        <w:t>.</w:t>
      </w:r>
      <w:r w:rsidRPr="00C42139">
        <w:rPr>
          <w:color w:val="auto"/>
        </w:rPr>
        <w:t>".</w:t>
      </w:r>
    </w:p>
  </w:footnote>
  <w:footnote w:id="2">
    <w:p w14:paraId="0B915C7D" w14:textId="3F89DF21" w:rsidR="008C2ED9" w:rsidRDefault="008C2ED9" w:rsidP="00201580">
      <w:pPr>
        <w:pStyle w:val="Notedebasdepage"/>
        <w:spacing w:after="0"/>
      </w:pPr>
      <w:r>
        <w:rPr>
          <w:rStyle w:val="Appelnotedebasdep"/>
        </w:rPr>
        <w:footnoteRef/>
      </w:r>
      <w:r>
        <w:t xml:space="preserve"> OCDE (2019), </w:t>
      </w:r>
      <w:r w:rsidRPr="004F5807">
        <w:rPr>
          <w:i/>
          <w:iCs/>
        </w:rPr>
        <w:t>Etudes économiques de l’OCDE : France 2019</w:t>
      </w:r>
      <w:r>
        <w:rPr>
          <w:i/>
          <w:iCs/>
        </w:rPr>
        <w:t>, synthèse</w:t>
      </w:r>
      <w:r>
        <w:t xml:space="preserve">, Editions OCDE, Paris. P.18. Disponible sur </w:t>
      </w:r>
      <w:hyperlink r:id="rId1" w:history="1">
        <w:r w:rsidR="00F0511B" w:rsidRPr="0099520C">
          <w:rPr>
            <w:rStyle w:val="Lienhypertexte"/>
            <w:rFonts w:eastAsia="Times New Roman" w:cs="Times New Roman"/>
          </w:rPr>
          <w:t>http://www.oecd.org/fr/economie/etudes/France-2019-OCDE-etude-economique-synthese.pdf</w:t>
        </w:r>
      </w:hyperlink>
    </w:p>
  </w:footnote>
  <w:footnote w:id="3">
    <w:p w14:paraId="78992F85" w14:textId="29699F8F" w:rsidR="008C2ED9" w:rsidRPr="008D0A2F" w:rsidRDefault="008C2ED9" w:rsidP="00201580">
      <w:pPr>
        <w:spacing w:after="0" w:line="240" w:lineRule="auto"/>
        <w:rPr>
          <w:color w:val="auto"/>
          <w:sz w:val="18"/>
          <w:szCs w:val="18"/>
        </w:rPr>
      </w:pPr>
      <w:r w:rsidRPr="008D0A2F">
        <w:rPr>
          <w:rStyle w:val="Appelnotedebasdep"/>
          <w:sz w:val="18"/>
          <w:szCs w:val="18"/>
        </w:rPr>
        <w:footnoteRef/>
      </w:r>
      <w:r w:rsidRPr="008D0A2F">
        <w:rPr>
          <w:color w:val="auto"/>
          <w:sz w:val="18"/>
          <w:szCs w:val="18"/>
        </w:rPr>
        <w:t xml:space="preserve"> D’après les enquêtes internationales sur les compétences des adultes (PIAAC = Programme for International Asses</w:t>
      </w:r>
      <w:r w:rsidR="00F1235A">
        <w:rPr>
          <w:color w:val="auto"/>
          <w:sz w:val="18"/>
          <w:szCs w:val="18"/>
        </w:rPr>
        <w:t>s</w:t>
      </w:r>
      <w:r w:rsidRPr="008D0A2F">
        <w:rPr>
          <w:color w:val="auto"/>
          <w:sz w:val="18"/>
          <w:szCs w:val="18"/>
        </w:rPr>
        <w:t>ment of Adult Competencies) coordonnées par l’OCDE. Elle</w:t>
      </w:r>
      <w:r w:rsidR="00201580" w:rsidRPr="008D0A2F">
        <w:rPr>
          <w:color w:val="auto"/>
          <w:sz w:val="18"/>
          <w:szCs w:val="18"/>
        </w:rPr>
        <w:t>s</w:t>
      </w:r>
      <w:r w:rsidRPr="008D0A2F">
        <w:rPr>
          <w:color w:val="auto"/>
          <w:sz w:val="18"/>
          <w:szCs w:val="18"/>
        </w:rPr>
        <w:t xml:space="preserve"> cherche</w:t>
      </w:r>
      <w:r w:rsidR="00201580" w:rsidRPr="008D0A2F">
        <w:rPr>
          <w:color w:val="auto"/>
          <w:sz w:val="18"/>
          <w:szCs w:val="18"/>
        </w:rPr>
        <w:t>nt</w:t>
      </w:r>
      <w:r w:rsidRPr="008D0A2F">
        <w:rPr>
          <w:color w:val="auto"/>
          <w:sz w:val="18"/>
          <w:szCs w:val="18"/>
        </w:rPr>
        <w:t xml:space="preserve"> à évaluer, via une série d’exercices, les compétences en littératie et en numératie des individus âgés de 16 à 65 ans. La littératie désigne « la capacité à comprendre et à utiliser l'information contenue dans des textes écrits dans divers contextes pour atteindre des objectifs et pour développer des connaissances et des aptitudes. La littératie englobe une variété de compétences, depuis le codage de mots et de phrases jusqu’à la compréhension, l’interprétation et l’évaluation de textes complexes. » (OCDE, 2013). La numératie, quant à elle, désigne la « capacité à utiliser, appliquer, interpréter et communiquer des informations et des idées mathématiques » (OCDE, 2013). Source : « Compétences individuelles et compétences utilisées en situation de travail », Document d’études, N°193, DARES, Septembre 2015.</w:t>
      </w:r>
    </w:p>
  </w:footnote>
  <w:footnote w:id="4">
    <w:p w14:paraId="27C0FC0D" w14:textId="46EA52A0" w:rsidR="008C2ED9" w:rsidRPr="008D0A2F" w:rsidRDefault="008C2ED9" w:rsidP="008D0A2F">
      <w:pPr>
        <w:spacing w:after="0" w:line="240" w:lineRule="auto"/>
        <w:rPr>
          <w:rFonts w:eastAsia="Times New Roman" w:cs="Times New Roman"/>
          <w:color w:val="auto"/>
          <w:sz w:val="18"/>
          <w:szCs w:val="18"/>
        </w:rPr>
      </w:pPr>
      <w:r w:rsidRPr="008D0A2F">
        <w:rPr>
          <w:rStyle w:val="Appelnotedebasdep"/>
          <w:color w:val="auto"/>
          <w:sz w:val="18"/>
          <w:szCs w:val="18"/>
        </w:rPr>
        <w:footnoteRef/>
      </w:r>
      <w:r w:rsidRPr="008D0A2F">
        <w:rPr>
          <w:sz w:val="18"/>
          <w:szCs w:val="18"/>
        </w:rPr>
        <w:t xml:space="preserve"> OCDE. Etudes économiques de l’OCDE : France, avril 2019, synthèse. 2019. P.34. Disponible sur </w:t>
      </w:r>
      <w:hyperlink r:id="rId2" w:history="1">
        <w:r w:rsidR="00F0511B" w:rsidRPr="0099520C">
          <w:rPr>
            <w:rStyle w:val="Lienhypertexte"/>
            <w:rFonts w:eastAsia="Times New Roman" w:cs="Times New Roman"/>
            <w:sz w:val="18"/>
            <w:szCs w:val="18"/>
          </w:rPr>
          <w:t>http://www.oecd.org/fr/economie/etudes/France-2019-OCDE-etude-economique-synthese.pdf</w:t>
        </w:r>
      </w:hyperlink>
    </w:p>
  </w:footnote>
  <w:footnote w:id="5">
    <w:p w14:paraId="6CA59107" w14:textId="34411723" w:rsidR="008C2ED9" w:rsidRDefault="008C2ED9" w:rsidP="008D0A2F">
      <w:pPr>
        <w:pStyle w:val="Notedebasdepage"/>
        <w:spacing w:after="0"/>
      </w:pPr>
      <w:r w:rsidRPr="008D0A2F">
        <w:rPr>
          <w:rStyle w:val="Appelnotedebasdep"/>
          <w:szCs w:val="18"/>
        </w:rPr>
        <w:footnoteRef/>
      </w:r>
      <w:r w:rsidRPr="008D0A2F">
        <w:rPr>
          <w:szCs w:val="18"/>
        </w:rPr>
        <w:t xml:space="preserve"> OCDE (2019), </w:t>
      </w:r>
      <w:r w:rsidRPr="008D0A2F">
        <w:rPr>
          <w:i/>
          <w:iCs/>
          <w:szCs w:val="18"/>
        </w:rPr>
        <w:t>Etudes économiques de l’OCDE : France 2019, synthèse</w:t>
      </w:r>
      <w:r w:rsidRPr="008D0A2F">
        <w:rPr>
          <w:szCs w:val="18"/>
        </w:rPr>
        <w:t>, Editions OCDE, Paris. P.34. Disponible sur </w:t>
      </w:r>
      <w:hyperlink r:id="rId3" w:history="1">
        <w:r w:rsidR="00F0511B" w:rsidRPr="0099520C">
          <w:rPr>
            <w:rStyle w:val="Lienhypertexte"/>
            <w:rFonts w:eastAsia="Times New Roman" w:cs="Times New Roman"/>
            <w:szCs w:val="18"/>
          </w:rPr>
          <w:t>http://www.oecd.org/fr/economie/etudes/France-2019-OCDE-etude-economique-synthese.pdf</w:t>
        </w:r>
      </w:hyperlink>
    </w:p>
  </w:footnote>
  <w:footnote w:id="6">
    <w:p w14:paraId="6261EBA1" w14:textId="1C49B4E8" w:rsidR="008C2ED9" w:rsidRDefault="008C2ED9" w:rsidP="003A5CED">
      <w:pPr>
        <w:pStyle w:val="Notedebasdepage"/>
      </w:pPr>
      <w:r>
        <w:rPr>
          <w:rStyle w:val="Appelnotedebasdep"/>
        </w:rPr>
        <w:footnoteRef/>
      </w:r>
      <w:r>
        <w:t xml:space="preserve"> Plus d’informations sur les enquêtes EVS et notamment celle de 2017 disponibles sur </w:t>
      </w:r>
      <w:hyperlink r:id="rId4" w:history="1">
        <w:r w:rsidR="00F0511B" w:rsidRPr="0099520C">
          <w:rPr>
            <w:rStyle w:val="Lienhypertexte"/>
          </w:rPr>
          <w:t>https://europeanvaluesstudy.eu/methodology-data-documentation/survey-2017/</w:t>
        </w:r>
      </w:hyperlink>
    </w:p>
  </w:footnote>
  <w:footnote w:id="7">
    <w:p w14:paraId="31924695" w14:textId="73273640" w:rsidR="008C2ED9" w:rsidRPr="00CF0D4F" w:rsidRDefault="008C2ED9" w:rsidP="00CF0D4F">
      <w:pPr>
        <w:spacing w:after="0" w:line="240" w:lineRule="auto"/>
        <w:rPr>
          <w:rFonts w:eastAsia="Times New Roman" w:cs="Times New Roman"/>
          <w:sz w:val="18"/>
          <w:szCs w:val="18"/>
        </w:rPr>
      </w:pPr>
      <w:r w:rsidRPr="00CF0D4F">
        <w:rPr>
          <w:rStyle w:val="Appelnotedebasdep"/>
          <w:sz w:val="18"/>
          <w:szCs w:val="18"/>
        </w:rPr>
        <w:footnoteRef/>
      </w:r>
      <w:r w:rsidRPr="00CF0D4F">
        <w:rPr>
          <w:sz w:val="18"/>
          <w:szCs w:val="18"/>
        </w:rPr>
        <w:t xml:space="preserve"> Informations complémentaires sur la diminution du temps de travail en France disponibles sur </w:t>
      </w:r>
      <w:hyperlink r:id="rId5" w:history="1">
        <w:r w:rsidR="00F0511B" w:rsidRPr="0099520C">
          <w:rPr>
            <w:rStyle w:val="Lienhypertexte"/>
            <w:rFonts w:eastAsia="Times New Roman" w:cs="Times New Roman"/>
            <w:sz w:val="18"/>
            <w:szCs w:val="18"/>
          </w:rPr>
          <w:t>http://ses.ens-lyon.fr/ressources/stats-a-la-une/levolution-de-la-duree-du-travail-en-france-depuis-1950</w:t>
        </w:r>
      </w:hyperlink>
    </w:p>
  </w:footnote>
  <w:footnote w:id="8">
    <w:p w14:paraId="53AA7D06" w14:textId="0DD831DB" w:rsidR="008C2ED9" w:rsidRPr="00CF0D4F" w:rsidRDefault="008C2ED9" w:rsidP="00CF0D4F">
      <w:pPr>
        <w:spacing w:after="0" w:line="240" w:lineRule="auto"/>
        <w:rPr>
          <w:rFonts w:eastAsia="Times New Roman" w:cs="Times New Roman"/>
          <w:sz w:val="18"/>
          <w:szCs w:val="18"/>
        </w:rPr>
      </w:pPr>
      <w:r w:rsidRPr="00CF0D4F">
        <w:rPr>
          <w:rStyle w:val="Appelnotedebasdep"/>
          <w:sz w:val="18"/>
          <w:szCs w:val="18"/>
        </w:rPr>
        <w:footnoteRef/>
      </w:r>
      <w:r w:rsidRPr="00CF0D4F">
        <w:rPr>
          <w:color w:val="009DD9" w:themeColor="accent2"/>
          <w:sz w:val="18"/>
          <w:szCs w:val="18"/>
        </w:rPr>
        <w:t xml:space="preserve"> </w:t>
      </w:r>
      <w:r w:rsidRPr="00CF0D4F">
        <w:rPr>
          <w:sz w:val="18"/>
          <w:szCs w:val="18"/>
        </w:rPr>
        <w:t>Chiffres actualisés pour 2019 disponibles sur https://www.insee.fr/fr/statistiques/2491136#tableau-figure1</w:t>
      </w:r>
    </w:p>
  </w:footnote>
  <w:footnote w:id="9">
    <w:p w14:paraId="3814E4EB" w14:textId="3A89A571" w:rsidR="00795E57" w:rsidRDefault="00795E57">
      <w:pPr>
        <w:pStyle w:val="Notedebasdepage"/>
      </w:pPr>
      <w:r>
        <w:rPr>
          <w:rStyle w:val="Appelnotedebasdep"/>
        </w:rPr>
        <w:footnoteRef/>
      </w:r>
      <w:r>
        <w:t xml:space="preserve"> Données ajoutées par les rédactrices du compte-rendu</w:t>
      </w:r>
      <w:r w:rsidR="00E268E5">
        <w:t xml:space="preserve">. Plus d’informations sur </w:t>
      </w:r>
      <w:hyperlink r:id="rId6" w:history="1">
        <w:r w:rsidR="00E268E5">
          <w:rPr>
            <w:rStyle w:val="Lienhypertexte"/>
          </w:rPr>
          <w:t>https://www.strategie.gouv.fr/infographies/seniors-lemploi-retraite</w:t>
        </w:r>
      </w:hyperlink>
      <w:r w:rsidR="00E268E5">
        <w:t xml:space="preserve"> ainsi que sur </w:t>
      </w:r>
      <w:hyperlink r:id="rId7" w:history="1">
        <w:r w:rsidR="00E268E5" w:rsidRPr="0099520C">
          <w:rPr>
            <w:rStyle w:val="Lienhypertexte"/>
          </w:rPr>
          <w:t>https://dares.travail-emploi.gouv.fr/IMG/pdf/tableau_de_bord_seniors_.pdf</w:t>
        </w:r>
      </w:hyperlink>
      <w:r w:rsidR="00E268E5">
        <w:t xml:space="preserve"> pour des données françaises de 2019.</w:t>
      </w:r>
    </w:p>
  </w:footnote>
  <w:footnote w:id="10">
    <w:p w14:paraId="4E8B202D" w14:textId="3A3225B0" w:rsidR="008C2ED9" w:rsidRPr="00CF0D4F" w:rsidRDefault="008C2ED9" w:rsidP="00CF0D4F">
      <w:pPr>
        <w:spacing w:after="0" w:line="240" w:lineRule="auto"/>
        <w:rPr>
          <w:rFonts w:eastAsia="Times New Roman" w:cs="Times New Roman"/>
          <w:sz w:val="18"/>
          <w:szCs w:val="18"/>
        </w:rPr>
      </w:pPr>
      <w:r w:rsidRPr="00CF0D4F">
        <w:rPr>
          <w:rStyle w:val="Appelnotedebasdep"/>
          <w:sz w:val="18"/>
          <w:szCs w:val="18"/>
        </w:rPr>
        <w:footnoteRef/>
      </w:r>
      <w:r w:rsidRPr="00CF0D4F">
        <w:rPr>
          <w:sz w:val="18"/>
          <w:szCs w:val="18"/>
        </w:rPr>
        <w:t xml:space="preserve"> Plus d’informations disponibles sur </w:t>
      </w:r>
      <w:hyperlink r:id="rId8" w:history="1">
        <w:r w:rsidR="00065171" w:rsidRPr="0099520C">
          <w:rPr>
            <w:rStyle w:val="Lienhypertexte"/>
            <w:rFonts w:eastAsia="Times New Roman" w:cs="Times New Roman"/>
            <w:sz w:val="18"/>
            <w:szCs w:val="18"/>
          </w:rPr>
          <w:t>https://www.eurofound.europa.eu/fr/data/european-working-conditions-survey</w:t>
        </w:r>
      </w:hyperlink>
      <w:r w:rsidRPr="00CF0D4F">
        <w:rPr>
          <w:rFonts w:eastAsia="Times New Roman" w:cs="Times New Roman"/>
          <w:sz w:val="18"/>
          <w:szCs w:val="18"/>
        </w:rPr>
        <w:t xml:space="preserve"> (Sixième enquête sur les conditions de travail 2015)</w:t>
      </w:r>
      <w:r w:rsidR="00E268E5">
        <w:rPr>
          <w:rFonts w:eastAsia="Times New Roman" w:cs="Times New Roman"/>
          <w:sz w:val="18"/>
          <w:szCs w:val="18"/>
        </w:rPr>
        <w:t>.</w:t>
      </w:r>
    </w:p>
    <w:p w14:paraId="4A5E45C0" w14:textId="77777777" w:rsidR="008C2ED9" w:rsidRPr="00051144" w:rsidRDefault="008C2ED9">
      <w:pPr>
        <w:pStyle w:val="Notedebasdepage"/>
      </w:pPr>
    </w:p>
  </w:footnote>
  <w:footnote w:id="11">
    <w:p w14:paraId="111F7AA7" w14:textId="452E6D66" w:rsidR="008C2ED9" w:rsidRPr="008704D7" w:rsidRDefault="008C2ED9" w:rsidP="0092583E">
      <w:pPr>
        <w:pStyle w:val="Notedebasdepage"/>
        <w:spacing w:after="0"/>
        <w:rPr>
          <w:szCs w:val="18"/>
        </w:rPr>
      </w:pPr>
      <w:r w:rsidRPr="008704D7">
        <w:rPr>
          <w:rStyle w:val="Appelnotedebasdep"/>
          <w:szCs w:val="18"/>
        </w:rPr>
        <w:footnoteRef/>
      </w:r>
      <w:r w:rsidRPr="008704D7">
        <w:rPr>
          <w:szCs w:val="18"/>
        </w:rPr>
        <w:t xml:space="preserve"> Pauline CHARNOZ et Michel GOLLAC, En 2007, le salaire était la première source d’insatisfaction vis-à-vis de l’emploi, </w:t>
      </w:r>
      <w:r w:rsidRPr="008704D7">
        <w:rPr>
          <w:i/>
          <w:iCs/>
          <w:szCs w:val="18"/>
        </w:rPr>
        <w:t>Insee Première</w:t>
      </w:r>
      <w:r w:rsidRPr="008704D7">
        <w:rPr>
          <w:szCs w:val="18"/>
        </w:rPr>
        <w:t>, INSEE, 2009.</w:t>
      </w:r>
    </w:p>
  </w:footnote>
  <w:footnote w:id="12">
    <w:p w14:paraId="5FE6DDED" w14:textId="205A4CB2" w:rsidR="008C2ED9" w:rsidRPr="008704D7" w:rsidRDefault="008C2ED9" w:rsidP="0092583E">
      <w:pPr>
        <w:spacing w:after="0" w:line="240" w:lineRule="auto"/>
        <w:rPr>
          <w:rFonts w:eastAsia="Times New Roman" w:cs="Times New Roman"/>
          <w:sz w:val="18"/>
          <w:szCs w:val="18"/>
        </w:rPr>
      </w:pPr>
      <w:r w:rsidRPr="008704D7">
        <w:rPr>
          <w:rStyle w:val="Appelnotedebasdep"/>
          <w:sz w:val="18"/>
          <w:szCs w:val="18"/>
        </w:rPr>
        <w:footnoteRef/>
      </w:r>
      <w:r w:rsidRPr="008704D7">
        <w:rPr>
          <w:sz w:val="18"/>
          <w:szCs w:val="18"/>
        </w:rPr>
        <w:t xml:space="preserve"> Plus d’informations disponibles sur </w:t>
      </w:r>
      <w:hyperlink r:id="rId9" w:history="1">
        <w:r w:rsidR="007C01A5" w:rsidRPr="0099520C">
          <w:rPr>
            <w:rStyle w:val="Lienhypertexte"/>
            <w:sz w:val="18"/>
            <w:szCs w:val="18"/>
          </w:rPr>
          <w:t>https://www.eurofound.europa.eu/fr/data/european-working-conditions-survey</w:t>
        </w:r>
      </w:hyperlink>
      <w:r w:rsidRPr="008704D7">
        <w:rPr>
          <w:sz w:val="18"/>
          <w:szCs w:val="18"/>
        </w:rPr>
        <w:t xml:space="preserve"> (Sixième enquête sur les conditions de travail 2015)</w:t>
      </w:r>
      <w:r w:rsidR="00C6299A">
        <w:rPr>
          <w:sz w:val="18"/>
          <w:szCs w:val="18"/>
        </w:rPr>
        <w:t>.</w:t>
      </w:r>
    </w:p>
  </w:footnote>
  <w:footnote w:id="13">
    <w:p w14:paraId="127A607E" w14:textId="3141A731" w:rsidR="008C2ED9" w:rsidRDefault="008C2ED9" w:rsidP="0092583E">
      <w:pPr>
        <w:pStyle w:val="Notedebasdepage"/>
        <w:spacing w:after="0"/>
      </w:pPr>
      <w:r>
        <w:rPr>
          <w:rStyle w:val="Appelnotedebasdep"/>
        </w:rPr>
        <w:footnoteRef/>
      </w:r>
      <w:r>
        <w:t xml:space="preserve"> Disponible sur </w:t>
      </w:r>
      <w:hyperlink r:id="rId10" w:history="1">
        <w:r w:rsidR="002439D3" w:rsidRPr="0099520C">
          <w:rPr>
            <w:rStyle w:val="Lienhypertexte"/>
          </w:rPr>
          <w:t>https://www.insee.fr/fr/statistiques/4182935?sommaire=4182950</w:t>
        </w:r>
      </w:hyperlink>
    </w:p>
  </w:footnote>
  <w:footnote w:id="14">
    <w:p w14:paraId="1CB84834" w14:textId="29014892" w:rsidR="008C2ED9" w:rsidRDefault="008C2ED9" w:rsidP="00A84744">
      <w:pPr>
        <w:jc w:val="both"/>
      </w:pPr>
      <w:r>
        <w:rPr>
          <w:rStyle w:val="Appelnotedebasdep"/>
        </w:rPr>
        <w:footnoteRef/>
      </w:r>
      <w:r>
        <w:rPr>
          <w:color w:val="auto"/>
          <w:sz w:val="16"/>
          <w:szCs w:val="18"/>
        </w:rPr>
        <w:t xml:space="preserve"> </w:t>
      </w:r>
      <w:r w:rsidRPr="00B21C77">
        <w:rPr>
          <w:color w:val="auto"/>
          <w:sz w:val="16"/>
          <w:szCs w:val="18"/>
        </w:rPr>
        <w:t>D’après</w:t>
      </w:r>
      <w:r>
        <w:rPr>
          <w:color w:val="auto"/>
          <w:sz w:val="16"/>
          <w:szCs w:val="18"/>
        </w:rPr>
        <w:t xml:space="preserve"> </w:t>
      </w:r>
      <w:r w:rsidRPr="00B21C77">
        <w:rPr>
          <w:color w:val="auto"/>
          <w:sz w:val="18"/>
          <w:szCs w:val="18"/>
        </w:rPr>
        <w:t>l</w:t>
      </w:r>
      <w:r>
        <w:rPr>
          <w:color w:val="auto"/>
          <w:sz w:val="18"/>
          <w:szCs w:val="18"/>
        </w:rPr>
        <w:t xml:space="preserve">es </w:t>
      </w:r>
      <w:r w:rsidRPr="00B21C77">
        <w:rPr>
          <w:color w:val="auto"/>
          <w:sz w:val="18"/>
          <w:szCs w:val="18"/>
        </w:rPr>
        <w:t>enquête</w:t>
      </w:r>
      <w:r>
        <w:rPr>
          <w:color w:val="auto"/>
          <w:sz w:val="18"/>
          <w:szCs w:val="18"/>
        </w:rPr>
        <w:t>s</w:t>
      </w:r>
      <w:r w:rsidRPr="00B21C77">
        <w:rPr>
          <w:color w:val="auto"/>
          <w:sz w:val="18"/>
          <w:szCs w:val="18"/>
        </w:rPr>
        <w:t xml:space="preserve"> internationale</w:t>
      </w:r>
      <w:r>
        <w:rPr>
          <w:color w:val="auto"/>
          <w:sz w:val="18"/>
          <w:szCs w:val="18"/>
        </w:rPr>
        <w:t>s</w:t>
      </w:r>
      <w:r w:rsidRPr="00B21C77">
        <w:rPr>
          <w:color w:val="auto"/>
          <w:sz w:val="18"/>
          <w:szCs w:val="18"/>
        </w:rPr>
        <w:t xml:space="preserve"> sur les compétences des adultes (PIAAC</w:t>
      </w:r>
      <w:r>
        <w:rPr>
          <w:color w:val="auto"/>
          <w:sz w:val="18"/>
          <w:szCs w:val="18"/>
        </w:rPr>
        <w:t xml:space="preserve"> = Programme for International Asses</w:t>
      </w:r>
      <w:r w:rsidR="00576696">
        <w:rPr>
          <w:color w:val="auto"/>
          <w:sz w:val="18"/>
          <w:szCs w:val="18"/>
        </w:rPr>
        <w:t>s</w:t>
      </w:r>
      <w:r>
        <w:rPr>
          <w:color w:val="auto"/>
          <w:sz w:val="18"/>
          <w:szCs w:val="18"/>
        </w:rPr>
        <w:t>ment of Adult Competencies</w:t>
      </w:r>
      <w:r w:rsidRPr="00B21C77">
        <w:rPr>
          <w:color w:val="auto"/>
          <w:sz w:val="18"/>
          <w:szCs w:val="18"/>
        </w:rPr>
        <w:t>)</w:t>
      </w:r>
      <w:r>
        <w:rPr>
          <w:color w:val="auto"/>
          <w:sz w:val="18"/>
          <w:szCs w:val="18"/>
        </w:rPr>
        <w:t xml:space="preserve"> </w:t>
      </w:r>
      <w:r w:rsidRPr="00B21C77">
        <w:rPr>
          <w:color w:val="auto"/>
          <w:sz w:val="18"/>
          <w:szCs w:val="18"/>
        </w:rPr>
        <w:t>coordonné</w:t>
      </w:r>
      <w:r>
        <w:rPr>
          <w:color w:val="auto"/>
          <w:sz w:val="18"/>
          <w:szCs w:val="18"/>
        </w:rPr>
        <w:t>es</w:t>
      </w:r>
      <w:r w:rsidRPr="00B21C77">
        <w:rPr>
          <w:color w:val="auto"/>
          <w:sz w:val="18"/>
          <w:szCs w:val="18"/>
        </w:rPr>
        <w:t xml:space="preserve"> par l’OCDE</w:t>
      </w:r>
      <w:r w:rsidR="00576696">
        <w:rPr>
          <w:color w:val="auto"/>
          <w:sz w:val="18"/>
          <w:szCs w:val="18"/>
        </w:rPr>
        <w:t>.</w:t>
      </w:r>
    </w:p>
  </w:footnote>
  <w:footnote w:id="15">
    <w:p w14:paraId="029D061B" w14:textId="36AD6381" w:rsidR="008C2ED9" w:rsidRDefault="008C2ED9">
      <w:pPr>
        <w:pStyle w:val="Notedebasdepage"/>
      </w:pPr>
      <w:r>
        <w:rPr>
          <w:rStyle w:val="Appelnotedebasdep"/>
        </w:rPr>
        <w:footnoteRef/>
      </w:r>
      <w:r>
        <w:t xml:space="preserve"> Données ajoutées par les rédactrices du compte-rendu</w:t>
      </w:r>
      <w:r w:rsidR="00801D13">
        <w:t>. Source : OCDE, données statistiques</w:t>
      </w:r>
      <w:r w:rsidR="00F0585F">
        <w:t xml:space="preserve"> : </w:t>
      </w:r>
      <w:hyperlink r:id="rId11" w:history="1">
        <w:r w:rsidR="00F0585F">
          <w:rPr>
            <w:rStyle w:val="Lienhypertexte"/>
          </w:rPr>
          <w:t>https://stats.oecd.org/viewhtml.aspx?datasetcode=TUD&amp;lang=fr</w:t>
        </w:r>
      </w:hyperlink>
    </w:p>
  </w:footnote>
  <w:footnote w:id="16">
    <w:p w14:paraId="4A6E893D" w14:textId="50A4B447" w:rsidR="008C2ED9" w:rsidRPr="005B7A0C" w:rsidRDefault="008C2ED9" w:rsidP="005B7A0C">
      <w:pPr>
        <w:pStyle w:val="Titre1"/>
        <w:shd w:val="clear" w:color="auto" w:fill="FFFFFF"/>
        <w:spacing w:before="0" w:beforeAutospacing="0" w:after="0" w:afterAutospacing="0"/>
        <w:rPr>
          <w:rFonts w:asciiTheme="minorHAnsi" w:eastAsia="Times New Roman" w:hAnsiTheme="minorHAnsi" w:cs="Times New Roman"/>
          <w:b w:val="0"/>
          <w:bCs w:val="0"/>
          <w:color w:val="000000" w:themeColor="text1"/>
          <w:sz w:val="18"/>
          <w:szCs w:val="18"/>
        </w:rPr>
      </w:pPr>
      <w:r w:rsidRPr="005B7A0C">
        <w:rPr>
          <w:rStyle w:val="Appelnotedebasdep"/>
          <w:rFonts w:asciiTheme="minorHAnsi" w:hAnsiTheme="minorHAnsi"/>
          <w:b w:val="0"/>
          <w:bCs w:val="0"/>
          <w:color w:val="000000" w:themeColor="text1"/>
          <w:sz w:val="18"/>
          <w:szCs w:val="18"/>
        </w:rPr>
        <w:footnoteRef/>
      </w:r>
      <w:r w:rsidR="005B7A0C">
        <w:rPr>
          <w:rFonts w:asciiTheme="minorHAnsi" w:hAnsiTheme="minorHAnsi"/>
          <w:b w:val="0"/>
          <w:bCs w:val="0"/>
          <w:color w:val="000000" w:themeColor="text1"/>
          <w:sz w:val="18"/>
          <w:szCs w:val="18"/>
        </w:rPr>
        <w:t xml:space="preserve"> </w:t>
      </w:r>
      <w:r w:rsidR="00CA3672">
        <w:rPr>
          <w:rFonts w:asciiTheme="minorHAnsi" w:hAnsiTheme="minorHAnsi"/>
          <w:b w:val="0"/>
          <w:bCs w:val="0"/>
          <w:color w:val="000000" w:themeColor="text1"/>
          <w:sz w:val="18"/>
          <w:szCs w:val="18"/>
        </w:rPr>
        <w:t xml:space="preserve">Yann </w:t>
      </w:r>
      <w:r w:rsidRPr="005B7A0C">
        <w:rPr>
          <w:rFonts w:asciiTheme="minorHAnsi" w:hAnsiTheme="minorHAnsi"/>
          <w:b w:val="0"/>
          <w:bCs w:val="0"/>
          <w:color w:val="000000" w:themeColor="text1"/>
          <w:sz w:val="18"/>
          <w:szCs w:val="18"/>
        </w:rPr>
        <w:t>A</w:t>
      </w:r>
      <w:r w:rsidR="00CA3672">
        <w:rPr>
          <w:rFonts w:asciiTheme="minorHAnsi" w:hAnsiTheme="minorHAnsi"/>
          <w:b w:val="0"/>
          <w:bCs w:val="0"/>
          <w:color w:val="000000" w:themeColor="text1"/>
          <w:sz w:val="18"/>
          <w:szCs w:val="18"/>
        </w:rPr>
        <w:t>LGAN</w:t>
      </w:r>
      <w:r w:rsidRPr="005B7A0C">
        <w:rPr>
          <w:rFonts w:asciiTheme="minorHAnsi" w:hAnsiTheme="minorHAnsi"/>
          <w:b w:val="0"/>
          <w:bCs w:val="0"/>
          <w:color w:val="000000" w:themeColor="text1"/>
          <w:sz w:val="18"/>
          <w:szCs w:val="18"/>
        </w:rPr>
        <w:t xml:space="preserve"> et </w:t>
      </w:r>
      <w:r w:rsidR="00CA3672">
        <w:rPr>
          <w:rFonts w:asciiTheme="minorHAnsi" w:hAnsiTheme="minorHAnsi"/>
          <w:b w:val="0"/>
          <w:bCs w:val="0"/>
          <w:color w:val="000000" w:themeColor="text1"/>
          <w:sz w:val="18"/>
          <w:szCs w:val="18"/>
        </w:rPr>
        <w:t xml:space="preserve">Pierre </w:t>
      </w:r>
      <w:r w:rsidRPr="005B7A0C">
        <w:rPr>
          <w:rFonts w:asciiTheme="minorHAnsi" w:hAnsiTheme="minorHAnsi"/>
          <w:b w:val="0"/>
          <w:bCs w:val="0"/>
          <w:color w:val="000000" w:themeColor="text1"/>
          <w:sz w:val="18"/>
          <w:szCs w:val="18"/>
        </w:rPr>
        <w:t>C</w:t>
      </w:r>
      <w:r w:rsidR="00CA3672">
        <w:rPr>
          <w:rFonts w:asciiTheme="minorHAnsi" w:hAnsiTheme="minorHAnsi"/>
          <w:b w:val="0"/>
          <w:bCs w:val="0"/>
          <w:color w:val="000000" w:themeColor="text1"/>
          <w:sz w:val="18"/>
          <w:szCs w:val="18"/>
        </w:rPr>
        <w:t>AHUC</w:t>
      </w:r>
      <w:r w:rsidRPr="005B7A0C">
        <w:rPr>
          <w:rFonts w:asciiTheme="minorHAnsi" w:hAnsiTheme="minorHAnsi"/>
          <w:b w:val="0"/>
          <w:bCs w:val="0"/>
          <w:color w:val="000000" w:themeColor="text1"/>
          <w:sz w:val="18"/>
          <w:szCs w:val="18"/>
        </w:rPr>
        <w:t xml:space="preserve">, </w:t>
      </w:r>
      <w:hyperlink r:id="rId12" w:history="1">
        <w:r w:rsidRPr="005B7A0C">
          <w:rPr>
            <w:rStyle w:val="Lienhypertexte"/>
            <w:rFonts w:asciiTheme="minorHAnsi" w:eastAsia="Times New Roman" w:hAnsiTheme="minorHAnsi" w:cs="Times New Roman"/>
            <w:b w:val="0"/>
            <w:bCs w:val="0"/>
            <w:i/>
            <w:iCs/>
            <w:color w:val="000000" w:themeColor="text1"/>
            <w:sz w:val="18"/>
            <w:szCs w:val="18"/>
            <w:u w:val="none"/>
          </w:rPr>
          <w:t>La société de défiance : comment le modèle social français s’autodétruit</w:t>
        </w:r>
      </w:hyperlink>
      <w:r w:rsidRPr="005B7A0C">
        <w:rPr>
          <w:rFonts w:asciiTheme="minorHAnsi" w:eastAsia="Times New Roman" w:hAnsiTheme="minorHAnsi" w:cs="Times New Roman"/>
          <w:b w:val="0"/>
          <w:bCs w:val="0"/>
          <w:color w:val="000000" w:themeColor="text1"/>
          <w:sz w:val="18"/>
          <w:szCs w:val="18"/>
        </w:rPr>
        <w:t>, Editions Rue d’Ulm / Presses de l’Ecole normale supérieure, 2007</w:t>
      </w:r>
      <w:r w:rsidR="00CA3672">
        <w:rPr>
          <w:rFonts w:asciiTheme="minorHAnsi" w:eastAsia="Times New Roman" w:hAnsiTheme="minorHAnsi" w:cs="Times New Roman"/>
          <w:b w:val="0"/>
          <w:bCs w:val="0"/>
          <w:color w:val="000000" w:themeColor="text1"/>
          <w:sz w:val="18"/>
          <w:szCs w:val="18"/>
        </w:rPr>
        <w:t>.</w:t>
      </w:r>
    </w:p>
  </w:footnote>
  <w:footnote w:id="17">
    <w:p w14:paraId="22564BD9" w14:textId="0C44D9A3" w:rsidR="008C2ED9" w:rsidRPr="006B3D8E" w:rsidRDefault="008C2ED9" w:rsidP="005B7A0C">
      <w:pPr>
        <w:pStyle w:val="Notedebasdepage"/>
        <w:spacing w:after="0"/>
      </w:pPr>
      <w:r w:rsidRPr="005B7A0C">
        <w:rPr>
          <w:rStyle w:val="Appelnotedebasdep"/>
          <w:rFonts w:asciiTheme="minorHAnsi" w:hAnsiTheme="minorHAnsi"/>
          <w:szCs w:val="18"/>
        </w:rPr>
        <w:footnoteRef/>
      </w:r>
      <w:r w:rsidRPr="005B7A0C">
        <w:rPr>
          <w:rFonts w:asciiTheme="minorHAnsi" w:hAnsiTheme="minorHAnsi"/>
          <w:szCs w:val="18"/>
        </w:rPr>
        <w:t xml:space="preserve"> Donnée ajoutée par les rédactrices du compte-rendu. Disponible sur </w:t>
      </w:r>
      <w:hyperlink r:id="rId13" w:history="1">
        <w:r w:rsidR="00DC4952" w:rsidRPr="0099520C">
          <w:rPr>
            <w:rStyle w:val="Lienhypertexte"/>
            <w:rFonts w:asciiTheme="minorHAnsi" w:hAnsiTheme="minorHAnsi"/>
            <w:szCs w:val="18"/>
          </w:rPr>
          <w:t>https://dares.travail-emploi.gouv.fr/DARES-Etudes-et-statistiques/etudes-et-syntheses/dares-analyses-dares-indicateurs-dares-resultats/article/la-revalorisation-du-smic-au-1er-janvier-2019</w:t>
        </w:r>
      </w:hyperlink>
    </w:p>
  </w:footnote>
  <w:footnote w:id="18">
    <w:p w14:paraId="69108255" w14:textId="4945ADD5" w:rsidR="008C2ED9" w:rsidRPr="00B13058" w:rsidRDefault="008C2ED9" w:rsidP="00BA1F57">
      <w:pPr>
        <w:pStyle w:val="Notedebasdepage"/>
        <w:rPr>
          <w:color w:val="auto"/>
          <w:szCs w:val="18"/>
        </w:rPr>
      </w:pPr>
      <w:r w:rsidRPr="00BA1F57">
        <w:rPr>
          <w:rStyle w:val="Appelnotedebasdep"/>
          <w:color w:val="auto"/>
          <w:szCs w:val="18"/>
        </w:rPr>
        <w:footnoteRef/>
      </w:r>
      <w:r w:rsidRPr="00BA1F57">
        <w:rPr>
          <w:color w:val="auto"/>
          <w:szCs w:val="18"/>
        </w:rPr>
        <w:t xml:space="preserve"> </w:t>
      </w:r>
      <w:r w:rsidRPr="00B13058">
        <w:rPr>
          <w:color w:val="auto"/>
          <w:szCs w:val="18"/>
        </w:rPr>
        <w:t>Dominique M</w:t>
      </w:r>
      <w:r w:rsidR="00B21066">
        <w:rPr>
          <w:color w:val="auto"/>
          <w:szCs w:val="18"/>
        </w:rPr>
        <w:t>EDA</w:t>
      </w:r>
      <w:r w:rsidRPr="00B13058">
        <w:rPr>
          <w:color w:val="auto"/>
          <w:szCs w:val="18"/>
        </w:rPr>
        <w:t>, Patricia V</w:t>
      </w:r>
      <w:r w:rsidR="00B21066">
        <w:rPr>
          <w:color w:val="auto"/>
          <w:szCs w:val="18"/>
        </w:rPr>
        <w:t>ENDRAMIN</w:t>
      </w:r>
      <w:r w:rsidRPr="00B13058">
        <w:rPr>
          <w:color w:val="auto"/>
          <w:szCs w:val="18"/>
        </w:rPr>
        <w:t>, </w:t>
      </w:r>
      <w:r w:rsidRPr="00B13058">
        <w:rPr>
          <w:i/>
          <w:iCs/>
          <w:color w:val="auto"/>
          <w:szCs w:val="18"/>
        </w:rPr>
        <w:t>Réinventer le travail</w:t>
      </w:r>
      <w:r w:rsidRPr="00B13058">
        <w:rPr>
          <w:color w:val="auto"/>
          <w:szCs w:val="18"/>
        </w:rPr>
        <w:t>, Paris, PUF, coll. « Le lien social », 2013, 258 p.</w:t>
      </w:r>
    </w:p>
  </w:footnote>
  <w:footnote w:id="19">
    <w:p w14:paraId="0D93C3AD" w14:textId="071C7EC9" w:rsidR="008C2ED9" w:rsidRPr="00BA1F57" w:rsidRDefault="008C2ED9" w:rsidP="00BA1F57">
      <w:pPr>
        <w:spacing w:after="40" w:line="240" w:lineRule="auto"/>
        <w:rPr>
          <w:rFonts w:eastAsia="Times New Roman" w:cs="Times New Roman"/>
          <w:color w:val="auto"/>
          <w:sz w:val="18"/>
          <w:szCs w:val="18"/>
        </w:rPr>
      </w:pPr>
      <w:r w:rsidRPr="00BA1F57">
        <w:rPr>
          <w:rStyle w:val="Appelnotedebasdep"/>
          <w:color w:val="auto"/>
          <w:sz w:val="18"/>
          <w:szCs w:val="18"/>
        </w:rPr>
        <w:footnoteRef/>
      </w:r>
      <w:r w:rsidRPr="00527E91">
        <w:rPr>
          <w:color w:val="auto"/>
          <w:sz w:val="18"/>
          <w:szCs w:val="18"/>
          <w:lang w:val="en-GB"/>
        </w:rPr>
        <w:t xml:space="preserve"> B</w:t>
      </w:r>
      <w:r w:rsidR="00527E91">
        <w:rPr>
          <w:color w:val="auto"/>
          <w:sz w:val="18"/>
          <w:szCs w:val="18"/>
          <w:lang w:val="en-GB"/>
        </w:rPr>
        <w:t>LOOM</w:t>
      </w:r>
      <w:r w:rsidRPr="00527E91">
        <w:rPr>
          <w:color w:val="auto"/>
          <w:sz w:val="18"/>
          <w:szCs w:val="18"/>
          <w:lang w:val="en-GB"/>
        </w:rPr>
        <w:t>, G</w:t>
      </w:r>
      <w:r w:rsidR="00527E91">
        <w:rPr>
          <w:color w:val="auto"/>
          <w:sz w:val="18"/>
          <w:szCs w:val="18"/>
          <w:lang w:val="en-GB"/>
        </w:rPr>
        <w:t>ENAKOS</w:t>
      </w:r>
      <w:r w:rsidRPr="00527E91">
        <w:rPr>
          <w:color w:val="auto"/>
          <w:sz w:val="18"/>
          <w:szCs w:val="18"/>
          <w:lang w:val="en-GB"/>
        </w:rPr>
        <w:t>, S</w:t>
      </w:r>
      <w:r w:rsidR="00527E91">
        <w:rPr>
          <w:color w:val="auto"/>
          <w:sz w:val="18"/>
          <w:szCs w:val="18"/>
          <w:lang w:val="en-GB"/>
        </w:rPr>
        <w:t>ADUN</w:t>
      </w:r>
      <w:r w:rsidRPr="00527E91">
        <w:rPr>
          <w:color w:val="auto"/>
          <w:sz w:val="18"/>
          <w:szCs w:val="18"/>
          <w:lang w:val="en-GB"/>
        </w:rPr>
        <w:t xml:space="preserve"> et V</w:t>
      </w:r>
      <w:r w:rsidR="00527E91">
        <w:rPr>
          <w:color w:val="auto"/>
          <w:sz w:val="18"/>
          <w:szCs w:val="18"/>
          <w:lang w:val="en-GB"/>
        </w:rPr>
        <w:t>AN</w:t>
      </w:r>
      <w:r w:rsidRPr="00527E91">
        <w:rPr>
          <w:color w:val="auto"/>
          <w:sz w:val="18"/>
          <w:szCs w:val="18"/>
          <w:lang w:val="en-GB"/>
        </w:rPr>
        <w:t xml:space="preserve"> R</w:t>
      </w:r>
      <w:r w:rsidR="00527E91">
        <w:rPr>
          <w:color w:val="auto"/>
          <w:sz w:val="18"/>
          <w:szCs w:val="18"/>
          <w:lang w:val="en-GB"/>
        </w:rPr>
        <w:t>EENEN</w:t>
      </w:r>
      <w:r w:rsidRPr="00527E91">
        <w:rPr>
          <w:color w:val="auto"/>
          <w:sz w:val="18"/>
          <w:szCs w:val="18"/>
          <w:lang w:val="en-GB"/>
        </w:rPr>
        <w:t xml:space="preserve">, “Management Practices Across Firms and Countries”, </w:t>
      </w:r>
      <w:r w:rsidRPr="00527E91">
        <w:rPr>
          <w:color w:val="auto"/>
          <w:sz w:val="18"/>
          <w:szCs w:val="18"/>
          <w:u w:val="single"/>
          <w:lang w:val="en-GB"/>
        </w:rPr>
        <w:t>Academy of Management Perspectives</w:t>
      </w:r>
      <w:r w:rsidRPr="00527E91">
        <w:rPr>
          <w:color w:val="auto"/>
          <w:sz w:val="18"/>
          <w:szCs w:val="18"/>
          <w:lang w:val="en-GB"/>
        </w:rPr>
        <w:t xml:space="preserve">, Volume 26, N°1, février 2012. </w:t>
      </w:r>
      <w:r w:rsidRPr="00BA1F57">
        <w:rPr>
          <w:color w:val="auto"/>
          <w:sz w:val="18"/>
          <w:szCs w:val="18"/>
        </w:rPr>
        <w:t>Disponible sur </w:t>
      </w:r>
      <w:hyperlink r:id="rId14" w:history="1">
        <w:r w:rsidR="00BA1F57" w:rsidRPr="008D0261">
          <w:rPr>
            <w:rStyle w:val="Lienhypertexte"/>
            <w:rFonts w:eastAsia="Times New Roman" w:cs="Times New Roman"/>
            <w:sz w:val="18"/>
            <w:szCs w:val="18"/>
          </w:rPr>
          <w:t>https://www.oecd.org/sdd/productivity-stats/7%20Session%203a%20-%20Genakos%20-%20AMP.pdf</w:t>
        </w:r>
      </w:hyperlink>
    </w:p>
  </w:footnote>
  <w:footnote w:id="20">
    <w:p w14:paraId="78C68781" w14:textId="14E8DEEC" w:rsidR="008C2ED9" w:rsidRPr="00BA1F57" w:rsidRDefault="008C2ED9" w:rsidP="00BA1F57">
      <w:pPr>
        <w:spacing w:after="40" w:line="240" w:lineRule="auto"/>
        <w:rPr>
          <w:rStyle w:val="Appelnotedebasdep"/>
          <w:color w:val="auto"/>
          <w:sz w:val="18"/>
          <w:szCs w:val="18"/>
          <w:vertAlign w:val="baseline"/>
        </w:rPr>
      </w:pPr>
      <w:r w:rsidRPr="00BA1F57">
        <w:rPr>
          <w:rStyle w:val="Appelnotedebasdep"/>
          <w:color w:val="auto"/>
          <w:sz w:val="18"/>
          <w:szCs w:val="18"/>
        </w:rPr>
        <w:footnoteRef/>
      </w:r>
      <w:r w:rsidRPr="00BA1F57">
        <w:rPr>
          <w:color w:val="auto"/>
          <w:sz w:val="18"/>
          <w:szCs w:val="18"/>
        </w:rPr>
        <w:t xml:space="preserve"> Un graphique intéressant à construire : power distance index by country</w:t>
      </w:r>
      <w:r w:rsidR="00BA1F57">
        <w:rPr>
          <w:color w:val="auto"/>
          <w:sz w:val="18"/>
          <w:szCs w:val="18"/>
        </w:rPr>
        <w:t xml:space="preserve">, disponible sur </w:t>
      </w:r>
      <w:hyperlink r:id="rId15" w:history="1">
        <w:r w:rsidR="00BA1F57" w:rsidRPr="008D0261">
          <w:rPr>
            <w:rStyle w:val="Lienhypertexte"/>
            <w:sz w:val="18"/>
            <w:szCs w:val="18"/>
          </w:rPr>
          <w:t>https://www.hofstede-insights.com/country-comparison/australia,france,sweden/</w:t>
        </w:r>
      </w:hyperlink>
    </w:p>
  </w:footnote>
  <w:footnote w:id="21">
    <w:p w14:paraId="734960E3" w14:textId="180C5275" w:rsidR="008C2ED9" w:rsidRPr="00BA1F57" w:rsidRDefault="008C2ED9" w:rsidP="00BA1F57">
      <w:pPr>
        <w:spacing w:after="40" w:line="240" w:lineRule="auto"/>
        <w:rPr>
          <w:rFonts w:eastAsia="Times New Roman" w:cs="Times New Roman"/>
          <w:color w:val="auto"/>
          <w:sz w:val="18"/>
          <w:szCs w:val="18"/>
        </w:rPr>
      </w:pPr>
      <w:r w:rsidRPr="00BA1F57">
        <w:rPr>
          <w:rStyle w:val="Appelnotedebasdep"/>
          <w:color w:val="auto"/>
          <w:sz w:val="18"/>
          <w:szCs w:val="18"/>
        </w:rPr>
        <w:footnoteRef/>
      </w:r>
      <w:r w:rsidRPr="00BA1F57">
        <w:rPr>
          <w:color w:val="auto"/>
          <w:sz w:val="18"/>
          <w:szCs w:val="18"/>
        </w:rPr>
        <w:t xml:space="preserve"> DARES, Les conditions de travail des non-salariés en 2005, </w:t>
      </w:r>
      <w:r w:rsidRPr="00BA1F57">
        <w:rPr>
          <w:color w:val="auto"/>
          <w:sz w:val="18"/>
          <w:szCs w:val="18"/>
          <w:u w:val="single"/>
        </w:rPr>
        <w:t>Premières Synthèses</w:t>
      </w:r>
      <w:r w:rsidRPr="00BA1F57">
        <w:rPr>
          <w:color w:val="auto"/>
          <w:sz w:val="18"/>
          <w:szCs w:val="18"/>
        </w:rPr>
        <w:t xml:space="preserve">, Décembre 2009. Disponible sur </w:t>
      </w:r>
      <w:hyperlink r:id="rId16" w:history="1">
        <w:r w:rsidRPr="00BA1F57">
          <w:rPr>
            <w:rStyle w:val="Lienhypertexte"/>
            <w:rFonts w:eastAsia="Times New Roman" w:cs="Times New Roman"/>
            <w:color w:val="auto"/>
            <w:sz w:val="18"/>
            <w:szCs w:val="18"/>
          </w:rPr>
          <w:t>https://dares.travail-emploi.gouv.fr/IMG/pdf/2009-12-50-1.pdf</w:t>
        </w:r>
      </w:hyperlink>
    </w:p>
  </w:footnote>
  <w:footnote w:id="22">
    <w:p w14:paraId="7EDEFE61" w14:textId="721DF9C2" w:rsidR="008C2ED9" w:rsidRPr="00145A7D" w:rsidRDefault="008C2ED9" w:rsidP="00936FE6">
      <w:pPr>
        <w:spacing w:after="0" w:line="240" w:lineRule="auto"/>
        <w:rPr>
          <w:rFonts w:eastAsia="Times New Roman" w:cs="Times New Roman"/>
          <w:color w:val="000000" w:themeColor="text1"/>
          <w:sz w:val="18"/>
          <w:szCs w:val="18"/>
        </w:rPr>
      </w:pPr>
      <w:r w:rsidRPr="00145A7D">
        <w:rPr>
          <w:rStyle w:val="Appelnotedebasdep"/>
          <w:color w:val="000000" w:themeColor="text1"/>
          <w:sz w:val="18"/>
          <w:szCs w:val="18"/>
        </w:rPr>
        <w:footnoteRef/>
      </w:r>
      <w:r>
        <w:rPr>
          <w:color w:val="000000" w:themeColor="text1"/>
          <w:sz w:val="18"/>
          <w:szCs w:val="18"/>
        </w:rPr>
        <w:t xml:space="preserve"> </w:t>
      </w:r>
      <w:r w:rsidRPr="00145A7D">
        <w:rPr>
          <w:color w:val="000000" w:themeColor="text1"/>
          <w:sz w:val="18"/>
          <w:szCs w:val="18"/>
        </w:rPr>
        <w:t xml:space="preserve">DARES, Les conditions de travail des non-salariés en 2005, </w:t>
      </w:r>
      <w:r w:rsidRPr="00145A7D">
        <w:rPr>
          <w:color w:val="000000" w:themeColor="text1"/>
          <w:sz w:val="18"/>
          <w:szCs w:val="18"/>
          <w:u w:val="single"/>
        </w:rPr>
        <w:t>Premières Synthèses</w:t>
      </w:r>
      <w:r w:rsidRPr="00145A7D">
        <w:rPr>
          <w:color w:val="000000" w:themeColor="text1"/>
          <w:sz w:val="18"/>
          <w:szCs w:val="18"/>
        </w:rPr>
        <w:t>, Décembre 2009</w:t>
      </w:r>
      <w:r>
        <w:rPr>
          <w:color w:val="000000" w:themeColor="text1"/>
          <w:sz w:val="18"/>
          <w:szCs w:val="18"/>
        </w:rPr>
        <w:t>. Disponible sur </w:t>
      </w:r>
      <w:hyperlink r:id="rId17" w:history="1">
        <w:r w:rsidR="00557840" w:rsidRPr="0099520C">
          <w:rPr>
            <w:rStyle w:val="Lienhypertexte"/>
            <w:rFonts w:eastAsia="Times New Roman" w:cs="Times New Roman"/>
            <w:sz w:val="18"/>
            <w:szCs w:val="18"/>
          </w:rPr>
          <w:t>https://dares.travail-emploi.gouv.fr/IMG/pdf/2009-12-50-1.pdf</w:t>
        </w:r>
      </w:hyperlink>
    </w:p>
  </w:footnote>
  <w:footnote w:id="23">
    <w:p w14:paraId="1572612D" w14:textId="77777777" w:rsidR="008C2ED9" w:rsidRPr="007F452A" w:rsidRDefault="008C2ED9" w:rsidP="00936FE6">
      <w:pPr>
        <w:spacing w:after="0" w:line="240" w:lineRule="auto"/>
        <w:rPr>
          <w:rFonts w:eastAsia="Times New Roman" w:cs="Times New Roman"/>
          <w:sz w:val="18"/>
          <w:szCs w:val="18"/>
        </w:rPr>
      </w:pPr>
      <w:r w:rsidRPr="00566695">
        <w:rPr>
          <w:rStyle w:val="Appelnotedebasdep"/>
          <w:color w:val="000000" w:themeColor="text1"/>
          <w:sz w:val="18"/>
          <w:szCs w:val="18"/>
        </w:rPr>
        <w:footnoteRef/>
      </w:r>
      <w:r>
        <w:rPr>
          <w:color w:val="000000" w:themeColor="text1"/>
          <w:sz w:val="18"/>
          <w:szCs w:val="18"/>
        </w:rPr>
        <w:t xml:space="preserve"> </w:t>
      </w:r>
      <w:r w:rsidRPr="00566695">
        <w:rPr>
          <w:color w:val="000000" w:themeColor="text1"/>
          <w:sz w:val="18"/>
          <w:szCs w:val="18"/>
        </w:rPr>
        <w:t>L’entretien avec le jeune Emilien qui permet d'appréhender la valeur du travail des "raters" (évaluateurs) dans la postface "un travail de fourmi" de Simon Paye</w:t>
      </w:r>
      <w:r>
        <w:rPr>
          <w:color w:val="000000" w:themeColor="text1"/>
          <w:sz w:val="18"/>
          <w:szCs w:val="18"/>
        </w:rPr>
        <w:t xml:space="preserve"> </w:t>
      </w:r>
      <w:r w:rsidRPr="00566695">
        <w:rPr>
          <w:color w:val="000000" w:themeColor="text1"/>
          <w:sz w:val="18"/>
          <w:szCs w:val="18"/>
        </w:rPr>
        <w:t xml:space="preserve">in Ouvrage collectif sous la direction de Menger et Paye, </w:t>
      </w:r>
      <w:r w:rsidRPr="00566695">
        <w:rPr>
          <w:i/>
          <w:iCs/>
          <w:color w:val="000000" w:themeColor="text1"/>
          <w:sz w:val="18"/>
          <w:szCs w:val="18"/>
        </w:rPr>
        <w:t>Big Data et la traçabilité numérique</w:t>
      </w:r>
      <w:r w:rsidRPr="00566695">
        <w:rPr>
          <w:color w:val="000000" w:themeColor="text1"/>
          <w:sz w:val="18"/>
          <w:szCs w:val="18"/>
        </w:rPr>
        <w:t xml:space="preserve">, Collège de France, </w:t>
      </w:r>
      <w:r>
        <w:rPr>
          <w:color w:val="000000" w:themeColor="text1"/>
          <w:sz w:val="18"/>
          <w:szCs w:val="18"/>
        </w:rPr>
        <w:t xml:space="preserve">Paris, </w:t>
      </w:r>
      <w:r w:rsidRPr="00566695">
        <w:rPr>
          <w:color w:val="000000" w:themeColor="text1"/>
          <w:sz w:val="18"/>
          <w:szCs w:val="18"/>
        </w:rPr>
        <w:t>2017</w:t>
      </w:r>
      <w:r>
        <w:rPr>
          <w:color w:val="000000" w:themeColor="text1"/>
          <w:sz w:val="18"/>
          <w:szCs w:val="18"/>
        </w:rPr>
        <w:t>, 218 p.</w:t>
      </w:r>
    </w:p>
    <w:p w14:paraId="6006B7F7" w14:textId="77777777" w:rsidR="008C2ED9" w:rsidRDefault="008C2ED9" w:rsidP="008C2ED9">
      <w:pPr>
        <w:pStyle w:val="Notedebasdepage"/>
      </w:pPr>
    </w:p>
  </w:footnote>
  <w:footnote w:id="24">
    <w:p w14:paraId="11EB761F" w14:textId="47CFD5AA" w:rsidR="006E61F2" w:rsidRPr="00557840" w:rsidRDefault="006E61F2" w:rsidP="006E61F2">
      <w:pPr>
        <w:pStyle w:val="Notedebasdepage"/>
        <w:rPr>
          <w:color w:val="auto"/>
          <w:lang w:val="en-GB"/>
        </w:rPr>
      </w:pPr>
      <w:r w:rsidRPr="00557840">
        <w:rPr>
          <w:rStyle w:val="Appelnotedebasdep"/>
          <w:color w:val="auto"/>
        </w:rPr>
        <w:footnoteRef/>
      </w:r>
      <w:r w:rsidRPr="00557840">
        <w:rPr>
          <w:color w:val="auto"/>
          <w:lang w:val="en-GB"/>
        </w:rPr>
        <w:t xml:space="preserve"> Sherwin R</w:t>
      </w:r>
      <w:r w:rsidR="00715760">
        <w:rPr>
          <w:color w:val="auto"/>
          <w:lang w:val="en-GB"/>
        </w:rPr>
        <w:t>OSEN</w:t>
      </w:r>
      <w:r w:rsidRPr="00557840">
        <w:rPr>
          <w:color w:val="auto"/>
          <w:lang w:val="en-GB"/>
        </w:rPr>
        <w:t xml:space="preserve">, “The Economics of Superstars”, </w:t>
      </w:r>
      <w:r w:rsidRPr="00557840">
        <w:rPr>
          <w:color w:val="auto"/>
          <w:u w:val="single"/>
          <w:lang w:val="en-GB"/>
        </w:rPr>
        <w:t>The American Economic Review</w:t>
      </w:r>
      <w:r w:rsidRPr="00557840">
        <w:rPr>
          <w:color w:val="auto"/>
          <w:lang w:val="en-GB"/>
        </w:rPr>
        <w:t>, Vol. 71, No. 5. (Dec., 1981), pp. 845-858.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8CA1AA" w14:textId="4586E6C1" w:rsidR="008C2ED9" w:rsidRDefault="00CD5734">
    <w:pPr>
      <w:pStyle w:val="En-tte1"/>
    </w:pPr>
    <w:sdt>
      <w:sdtPr>
        <w:id w:val="80127134"/>
      </w:sdtPr>
      <w:sdtEndPr/>
      <w:sdtContent>
        <w:r w:rsidR="008C2ED9">
          <w:t>05/02/2020</w:t>
        </w:r>
      </w:sdtContent>
    </w:sdt>
    <w:r w:rsidR="008C2ED9">
      <w:rPr>
        <w:noProof/>
      </w:rPr>
      <mc:AlternateContent>
        <mc:Choice Requires="wps">
          <w:drawing>
            <wp:anchor distT="0" distB="0" distL="114299" distR="114299" simplePos="0" relativeHeight="251659264" behindDoc="0" locked="0" layoutInCell="1" allowOverlap="1" wp14:anchorId="172B8B9F" wp14:editId="0D104DD7">
              <wp:simplePos x="0" y="0"/>
              <mc:AlternateContent>
                <mc:Choice Requires="wp14">
                  <wp:positionH relativeFrom="page">
                    <wp14:pctPosHOffset>97000</wp14:pctPosHOffset>
                  </wp:positionH>
                </mc:Choice>
                <mc:Fallback>
                  <wp:positionH relativeFrom="page">
                    <wp:posOffset>7333615</wp:posOffset>
                  </wp:positionH>
                </mc:Fallback>
              </mc:AlternateContent>
              <wp:positionV relativeFrom="page">
                <wp:align>center</wp:align>
              </wp:positionV>
              <wp:extent cx="0" cy="10887710"/>
              <wp:effectExtent l="0" t="0" r="19050" b="8890"/>
              <wp:wrapNone/>
              <wp:docPr id="75" name="Forme automatiqu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887710"/>
                      </a:xfrm>
                      <a:prstGeom prst="straightConnector1">
                        <a:avLst/>
                      </a:prstGeom>
                      <a:noFill/>
                      <a:ln w="12700">
                        <a:solidFill>
                          <a:schemeClr val="accent1">
                            <a:lumMod val="100000"/>
                            <a:lumOff val="0"/>
                          </a:schemeClr>
                        </a:solidFill>
                        <a:round/>
                        <a:headEnd/>
                        <a:tailEnd/>
                      </a:ln>
                    </wps:spPr>
                    <wps:bodyPr/>
                  </wps:wsp>
                </a:graphicData>
              </a:graphic>
              <wp14:sizeRelH relativeFrom="rightMargin">
                <wp14:pctWidth>0</wp14:pctWidth>
              </wp14:sizeRelH>
              <wp14:sizeRelV relativeFrom="page">
                <wp14:pctHeight>102000</wp14:pctHeight>
              </wp14:sizeRelV>
            </wp:anchor>
          </w:drawing>
        </mc:Choice>
        <mc:Fallback>
          <w:pict>
            <v:shapetype w14:anchorId="2504D895" id="_x0000_t32" coordsize="21600,21600" o:spt="32" o:oned="t" path="m,l21600,21600e" filled="f">
              <v:path arrowok="t" fillok="f" o:connecttype="none"/>
              <o:lock v:ext="edit" shapetype="t"/>
            </v:shapetype>
            <v:shape id="Forme automatique 9" o:spid="_x0000_s1026" type="#_x0000_t32" style="position:absolute;margin-left:0;margin-top:0;width:0;height:857.3pt;z-index:251659264;visibility:visible;mso-wrap-style:square;mso-width-percent:0;mso-height-percent:1020;mso-left-percent:970;mso-wrap-distance-left:3.17497mm;mso-wrap-distance-top:0;mso-wrap-distance-right:3.17497mm;mso-wrap-distance-bottom:0;mso-position-horizontal-relative:page;mso-position-vertical:center;mso-position-vertical-relative:page;mso-width-percent:0;mso-height-percent:1020;mso-left-percent:970;mso-width-relative:right-margin-area;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pD4QEAAK0DAAAOAAAAZHJzL2Uyb0RvYy54bWysU8GO0zAQvSPxD5bvNEklaIma7qFLuSyw&#10;0sIHTG2nsbA9xnab9m/4Fr6MsdMWFm6IHCzPjOfNmzeT1d3JGnZUIWp0HW9mNWfKCZTa7Tv+5fP2&#10;1ZKzmMBJMOhUx88q8rv1yxer0bdqjgMaqQIjEBfb0Xd8SMm3VRXFoCzEGXrlKNhjsJDIDPtKBhgJ&#10;3ZpqXtdvqhGD9AGFipG891OQrwt+3yuRPvV9VImZjhO3VM5Qzl0+q/UK2n0AP2hxoQH/wMKCdlT0&#10;BnUPCdgh6L+grBYBI/ZpJtBW2PdaqNIDddPUf3TzNIBXpRcSJ/qbTPH/wYqPx8fAtOz44jVnDizN&#10;aEtqKwaHhCS6/nZQP76/zUKNPrb0fuMeQ25VnNyTf0DxNVKsehbMRvQEvBs/oCTIDFb0OfXB5mTq&#10;nJ3KGM63MahTYmJyCvI29XK5WDRlRhW010wfYnqv0LJ86XhMAfR+SBt0jqaNoSl14PgQU+YF7TUh&#10;l3W41caUoRvHRioyX9R1yYhotMzR/K7sn9qYwI5AmwNCKJcmZHOw1NPkb+r8TUtEflq1yX/lfIMp&#10;RJ5VCHhwshAZFMh3l3sCbaY7ETfuomuWcpJ/h/L8GK56004U4Mv+5qX73S7Zv/6y9U8AAAD//wMA&#10;UEsDBBQABgAIAAAAIQCPLexp2wAAAAMBAAAPAAAAZHJzL2Rvd25yZXYueG1sTI9BT8JAEIXvJv6H&#10;zZhwky0GsKndEiSRI1EkTbgt3bFb7c7W7gLFX+/oRS+TmbyXN9/LF4NrxQn70HhSMBknIJAqbxqq&#10;Fexen25TECFqMrr1hAouGGBRXF/lOjP+TC942sZacAiFTCuwMXaZlKGy6HQY+w6JtTffOx357Gtp&#10;en3mcNfKuySZS6cb4g9Wd7iyWH1sj07BZ1luZst0/bV6fvfNfp0+lunMKjW6GZYPICIO8c8MP/iM&#10;DgUzHfyRTBCtAi4SfydrvB/YcT+ZzkEWufzPXnwDAAD//wMAUEsBAi0AFAAGAAgAAAAhALaDOJL+&#10;AAAA4QEAABMAAAAAAAAAAAAAAAAAAAAAAFtDb250ZW50X1R5cGVzXS54bWxQSwECLQAUAAYACAAA&#10;ACEAOP0h/9YAAACUAQAACwAAAAAAAAAAAAAAAAAvAQAAX3JlbHMvLnJlbHNQSwECLQAUAAYACAAA&#10;ACEA2iraQ+EBAACtAwAADgAAAAAAAAAAAAAAAAAuAgAAZHJzL2Uyb0RvYy54bWxQSwECLQAUAAYA&#10;CAAAACEAjy3sadsAAAADAQAADwAAAAAAAAAAAAAAAAA7BAAAZHJzL2Rvd25yZXYueG1sUEsFBgAA&#10;AAAEAAQA8wAAAEMFAAAAAA==&#10;" strokecolor="#0f6fc6 [3204]" strokeweight="1pt">
              <o:lock v:ext="edit" shapetype="f"/>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072273"/>
    <w:multiLevelType w:val="hybridMultilevel"/>
    <w:tmpl w:val="8DC2F61C"/>
    <w:lvl w:ilvl="0" w:tplc="4C5AB0A4">
      <w:start w:val="1"/>
      <w:numFmt w:val="bullet"/>
      <w:lvlText w:val=""/>
      <w:lvlJc w:val="left"/>
      <w:pPr>
        <w:ind w:left="720" w:hanging="360"/>
      </w:pPr>
      <w:rPr>
        <w:rFonts w:ascii="Symbol" w:hAnsi="Symbol" w:hint="default"/>
      </w:rPr>
    </w:lvl>
    <w:lvl w:ilvl="1" w:tplc="36C21B0A">
      <w:start w:val="1"/>
      <w:numFmt w:val="bullet"/>
      <w:lvlText w:val="o"/>
      <w:lvlJc w:val="left"/>
      <w:pPr>
        <w:ind w:left="1440" w:hanging="360"/>
      </w:pPr>
      <w:rPr>
        <w:rFonts w:ascii="Courier New" w:hAnsi="Courier New" w:cs="Courier New" w:hint="default"/>
      </w:rPr>
    </w:lvl>
    <w:lvl w:ilvl="2" w:tplc="8E24982E">
      <w:start w:val="1"/>
      <w:numFmt w:val="bullet"/>
      <w:lvlText w:val=""/>
      <w:lvlJc w:val="left"/>
      <w:pPr>
        <w:ind w:left="2160" w:hanging="360"/>
      </w:pPr>
      <w:rPr>
        <w:rFonts w:ascii="Wingdings" w:hAnsi="Wingdings" w:hint="default"/>
      </w:rPr>
    </w:lvl>
    <w:lvl w:ilvl="3" w:tplc="91E6C7B2">
      <w:start w:val="1"/>
      <w:numFmt w:val="bullet"/>
      <w:lvlText w:val=""/>
      <w:lvlJc w:val="left"/>
      <w:pPr>
        <w:ind w:left="2880" w:hanging="360"/>
      </w:pPr>
      <w:rPr>
        <w:rFonts w:ascii="Symbol" w:hAnsi="Symbol" w:hint="default"/>
      </w:rPr>
    </w:lvl>
    <w:lvl w:ilvl="4" w:tplc="83E467D6">
      <w:start w:val="1"/>
      <w:numFmt w:val="bullet"/>
      <w:lvlText w:val="o"/>
      <w:lvlJc w:val="left"/>
      <w:pPr>
        <w:ind w:left="3600" w:hanging="360"/>
      </w:pPr>
      <w:rPr>
        <w:rFonts w:ascii="Courier New" w:hAnsi="Courier New" w:cs="Courier New" w:hint="default"/>
      </w:rPr>
    </w:lvl>
    <w:lvl w:ilvl="5" w:tplc="F3E653F8">
      <w:start w:val="1"/>
      <w:numFmt w:val="bullet"/>
      <w:lvlText w:val=""/>
      <w:lvlJc w:val="left"/>
      <w:pPr>
        <w:ind w:left="4320" w:hanging="360"/>
      </w:pPr>
      <w:rPr>
        <w:rFonts w:ascii="Wingdings" w:hAnsi="Wingdings" w:hint="default"/>
      </w:rPr>
    </w:lvl>
    <w:lvl w:ilvl="6" w:tplc="D26C37BC">
      <w:start w:val="1"/>
      <w:numFmt w:val="bullet"/>
      <w:lvlText w:val=""/>
      <w:lvlJc w:val="left"/>
      <w:pPr>
        <w:ind w:left="5040" w:hanging="360"/>
      </w:pPr>
      <w:rPr>
        <w:rFonts w:ascii="Symbol" w:hAnsi="Symbol" w:hint="default"/>
      </w:rPr>
    </w:lvl>
    <w:lvl w:ilvl="7" w:tplc="7ED067A2">
      <w:start w:val="1"/>
      <w:numFmt w:val="bullet"/>
      <w:lvlText w:val="o"/>
      <w:lvlJc w:val="left"/>
      <w:pPr>
        <w:ind w:left="5760" w:hanging="360"/>
      </w:pPr>
      <w:rPr>
        <w:rFonts w:ascii="Courier New" w:hAnsi="Courier New" w:cs="Courier New" w:hint="default"/>
      </w:rPr>
    </w:lvl>
    <w:lvl w:ilvl="8" w:tplc="4EE4EE5A">
      <w:start w:val="1"/>
      <w:numFmt w:val="bullet"/>
      <w:lvlText w:val=""/>
      <w:lvlJc w:val="left"/>
      <w:pPr>
        <w:ind w:left="6480" w:hanging="360"/>
      </w:pPr>
      <w:rPr>
        <w:rFonts w:ascii="Wingdings" w:hAnsi="Wingdings" w:hint="default"/>
      </w:rPr>
    </w:lvl>
  </w:abstractNum>
  <w:abstractNum w:abstractNumId="1" w15:restartNumberingAfterBreak="0">
    <w:nsid w:val="16F57BAE"/>
    <w:multiLevelType w:val="hybridMultilevel"/>
    <w:tmpl w:val="357E8D1C"/>
    <w:lvl w:ilvl="0" w:tplc="D2DE10E4">
      <w:start w:val="1"/>
      <w:numFmt w:val="bullet"/>
      <w:lvlText w:val=""/>
      <w:lvlJc w:val="left"/>
      <w:pPr>
        <w:ind w:left="720" w:hanging="360"/>
      </w:pPr>
      <w:rPr>
        <w:rFonts w:ascii="Symbol" w:hAnsi="Symbol" w:hint="default"/>
      </w:rPr>
    </w:lvl>
    <w:lvl w:ilvl="1" w:tplc="50228D4A">
      <w:start w:val="1"/>
      <w:numFmt w:val="bullet"/>
      <w:lvlText w:val="o"/>
      <w:lvlJc w:val="left"/>
      <w:pPr>
        <w:ind w:left="1440" w:hanging="360"/>
      </w:pPr>
      <w:rPr>
        <w:rFonts w:ascii="Courier New" w:hAnsi="Courier New" w:cs="Courier New" w:hint="default"/>
      </w:rPr>
    </w:lvl>
    <w:lvl w:ilvl="2" w:tplc="C40A2CDA">
      <w:start w:val="1"/>
      <w:numFmt w:val="bullet"/>
      <w:lvlText w:val=""/>
      <w:lvlJc w:val="left"/>
      <w:pPr>
        <w:ind w:left="2160" w:hanging="360"/>
      </w:pPr>
      <w:rPr>
        <w:rFonts w:ascii="Wingdings" w:hAnsi="Wingdings" w:hint="default"/>
      </w:rPr>
    </w:lvl>
    <w:lvl w:ilvl="3" w:tplc="354E42D8">
      <w:start w:val="1"/>
      <w:numFmt w:val="bullet"/>
      <w:lvlText w:val=""/>
      <w:lvlJc w:val="left"/>
      <w:pPr>
        <w:ind w:left="2880" w:hanging="360"/>
      </w:pPr>
      <w:rPr>
        <w:rFonts w:ascii="Symbol" w:hAnsi="Symbol" w:hint="default"/>
      </w:rPr>
    </w:lvl>
    <w:lvl w:ilvl="4" w:tplc="DDE41FD4">
      <w:start w:val="1"/>
      <w:numFmt w:val="bullet"/>
      <w:lvlText w:val="o"/>
      <w:lvlJc w:val="left"/>
      <w:pPr>
        <w:ind w:left="3600" w:hanging="360"/>
      </w:pPr>
      <w:rPr>
        <w:rFonts w:ascii="Courier New" w:hAnsi="Courier New" w:cs="Courier New" w:hint="default"/>
      </w:rPr>
    </w:lvl>
    <w:lvl w:ilvl="5" w:tplc="8F10DF38">
      <w:start w:val="1"/>
      <w:numFmt w:val="bullet"/>
      <w:lvlText w:val=""/>
      <w:lvlJc w:val="left"/>
      <w:pPr>
        <w:ind w:left="4320" w:hanging="360"/>
      </w:pPr>
      <w:rPr>
        <w:rFonts w:ascii="Wingdings" w:hAnsi="Wingdings" w:hint="default"/>
      </w:rPr>
    </w:lvl>
    <w:lvl w:ilvl="6" w:tplc="11F68282">
      <w:start w:val="1"/>
      <w:numFmt w:val="bullet"/>
      <w:lvlText w:val=""/>
      <w:lvlJc w:val="left"/>
      <w:pPr>
        <w:ind w:left="5040" w:hanging="360"/>
      </w:pPr>
      <w:rPr>
        <w:rFonts w:ascii="Symbol" w:hAnsi="Symbol" w:hint="default"/>
      </w:rPr>
    </w:lvl>
    <w:lvl w:ilvl="7" w:tplc="4246EC52">
      <w:start w:val="1"/>
      <w:numFmt w:val="bullet"/>
      <w:lvlText w:val="o"/>
      <w:lvlJc w:val="left"/>
      <w:pPr>
        <w:ind w:left="5760" w:hanging="360"/>
      </w:pPr>
      <w:rPr>
        <w:rFonts w:ascii="Courier New" w:hAnsi="Courier New" w:cs="Courier New" w:hint="default"/>
      </w:rPr>
    </w:lvl>
    <w:lvl w:ilvl="8" w:tplc="99BEB19C">
      <w:start w:val="1"/>
      <w:numFmt w:val="bullet"/>
      <w:lvlText w:val=""/>
      <w:lvlJc w:val="left"/>
      <w:pPr>
        <w:ind w:left="6480" w:hanging="360"/>
      </w:pPr>
      <w:rPr>
        <w:rFonts w:ascii="Wingdings" w:hAnsi="Wingdings" w:hint="default"/>
      </w:rPr>
    </w:lvl>
  </w:abstractNum>
  <w:abstractNum w:abstractNumId="2" w15:restartNumberingAfterBreak="0">
    <w:nsid w:val="1DBC784D"/>
    <w:multiLevelType w:val="hybridMultilevel"/>
    <w:tmpl w:val="F8127760"/>
    <w:lvl w:ilvl="0" w:tplc="104EE2DE">
      <w:start w:val="1"/>
      <w:numFmt w:val="bullet"/>
      <w:lvlText w:val=""/>
      <w:lvlJc w:val="left"/>
      <w:pPr>
        <w:ind w:left="720" w:hanging="360"/>
      </w:pPr>
      <w:rPr>
        <w:rFonts w:ascii="Symbol" w:hAnsi="Symbol" w:hint="default"/>
      </w:rPr>
    </w:lvl>
    <w:lvl w:ilvl="1" w:tplc="DFBCCA52">
      <w:start w:val="1"/>
      <w:numFmt w:val="bullet"/>
      <w:lvlText w:val="o"/>
      <w:lvlJc w:val="left"/>
      <w:pPr>
        <w:ind w:left="1440" w:hanging="360"/>
      </w:pPr>
      <w:rPr>
        <w:rFonts w:ascii="Courier New" w:hAnsi="Courier New" w:cs="Courier New" w:hint="default"/>
      </w:rPr>
    </w:lvl>
    <w:lvl w:ilvl="2" w:tplc="542EBC50">
      <w:start w:val="1"/>
      <w:numFmt w:val="bullet"/>
      <w:lvlText w:val=""/>
      <w:lvlJc w:val="left"/>
      <w:pPr>
        <w:ind w:left="2160" w:hanging="360"/>
      </w:pPr>
      <w:rPr>
        <w:rFonts w:ascii="Wingdings" w:hAnsi="Wingdings" w:hint="default"/>
      </w:rPr>
    </w:lvl>
    <w:lvl w:ilvl="3" w:tplc="FAF4FFE6">
      <w:start w:val="1"/>
      <w:numFmt w:val="bullet"/>
      <w:lvlText w:val=""/>
      <w:lvlJc w:val="left"/>
      <w:pPr>
        <w:ind w:left="2880" w:hanging="360"/>
      </w:pPr>
      <w:rPr>
        <w:rFonts w:ascii="Symbol" w:hAnsi="Symbol" w:hint="default"/>
      </w:rPr>
    </w:lvl>
    <w:lvl w:ilvl="4" w:tplc="E224FC06">
      <w:start w:val="1"/>
      <w:numFmt w:val="bullet"/>
      <w:lvlText w:val="o"/>
      <w:lvlJc w:val="left"/>
      <w:pPr>
        <w:ind w:left="3600" w:hanging="360"/>
      </w:pPr>
      <w:rPr>
        <w:rFonts w:ascii="Courier New" w:hAnsi="Courier New" w:cs="Courier New" w:hint="default"/>
      </w:rPr>
    </w:lvl>
    <w:lvl w:ilvl="5" w:tplc="F7A644A4">
      <w:start w:val="1"/>
      <w:numFmt w:val="bullet"/>
      <w:lvlText w:val=""/>
      <w:lvlJc w:val="left"/>
      <w:pPr>
        <w:ind w:left="4320" w:hanging="360"/>
      </w:pPr>
      <w:rPr>
        <w:rFonts w:ascii="Wingdings" w:hAnsi="Wingdings" w:hint="default"/>
      </w:rPr>
    </w:lvl>
    <w:lvl w:ilvl="6" w:tplc="D4B4916E">
      <w:start w:val="1"/>
      <w:numFmt w:val="bullet"/>
      <w:lvlText w:val=""/>
      <w:lvlJc w:val="left"/>
      <w:pPr>
        <w:ind w:left="5040" w:hanging="360"/>
      </w:pPr>
      <w:rPr>
        <w:rFonts w:ascii="Symbol" w:hAnsi="Symbol" w:hint="default"/>
      </w:rPr>
    </w:lvl>
    <w:lvl w:ilvl="7" w:tplc="B658EFFA">
      <w:start w:val="1"/>
      <w:numFmt w:val="bullet"/>
      <w:lvlText w:val="o"/>
      <w:lvlJc w:val="left"/>
      <w:pPr>
        <w:ind w:left="5760" w:hanging="360"/>
      </w:pPr>
      <w:rPr>
        <w:rFonts w:ascii="Courier New" w:hAnsi="Courier New" w:cs="Courier New" w:hint="default"/>
      </w:rPr>
    </w:lvl>
    <w:lvl w:ilvl="8" w:tplc="FBDE09D2">
      <w:start w:val="1"/>
      <w:numFmt w:val="bullet"/>
      <w:lvlText w:val=""/>
      <w:lvlJc w:val="left"/>
      <w:pPr>
        <w:ind w:left="6480" w:hanging="360"/>
      </w:pPr>
      <w:rPr>
        <w:rFonts w:ascii="Wingdings" w:hAnsi="Wingdings" w:hint="default"/>
      </w:rPr>
    </w:lvl>
  </w:abstractNum>
  <w:abstractNum w:abstractNumId="3" w15:restartNumberingAfterBreak="0">
    <w:nsid w:val="238F5C8C"/>
    <w:multiLevelType w:val="hybridMultilevel"/>
    <w:tmpl w:val="787CA950"/>
    <w:lvl w:ilvl="0" w:tplc="DB026D84">
      <w:start w:val="1"/>
      <w:numFmt w:val="bullet"/>
      <w:lvlText w:val=""/>
      <w:lvlJc w:val="left"/>
      <w:pPr>
        <w:ind w:left="720" w:hanging="360"/>
      </w:pPr>
      <w:rPr>
        <w:rFonts w:ascii="Symbol" w:hAnsi="Symbol" w:hint="default"/>
      </w:rPr>
    </w:lvl>
    <w:lvl w:ilvl="1" w:tplc="D52443F0">
      <w:start w:val="1"/>
      <w:numFmt w:val="bullet"/>
      <w:lvlText w:val="o"/>
      <w:lvlJc w:val="left"/>
      <w:pPr>
        <w:ind w:left="1440" w:hanging="360"/>
      </w:pPr>
      <w:rPr>
        <w:rFonts w:ascii="Courier New" w:hAnsi="Courier New" w:cs="Courier New" w:hint="default"/>
      </w:rPr>
    </w:lvl>
    <w:lvl w:ilvl="2" w:tplc="D20E1D40">
      <w:start w:val="1"/>
      <w:numFmt w:val="bullet"/>
      <w:lvlText w:val=""/>
      <w:lvlJc w:val="left"/>
      <w:pPr>
        <w:ind w:left="2160" w:hanging="360"/>
      </w:pPr>
      <w:rPr>
        <w:rFonts w:ascii="Wingdings" w:hAnsi="Wingdings" w:hint="default"/>
      </w:rPr>
    </w:lvl>
    <w:lvl w:ilvl="3" w:tplc="700600DE">
      <w:start w:val="1"/>
      <w:numFmt w:val="bullet"/>
      <w:lvlText w:val=""/>
      <w:lvlJc w:val="left"/>
      <w:pPr>
        <w:ind w:left="2880" w:hanging="360"/>
      </w:pPr>
      <w:rPr>
        <w:rFonts w:ascii="Symbol" w:hAnsi="Symbol" w:hint="default"/>
      </w:rPr>
    </w:lvl>
    <w:lvl w:ilvl="4" w:tplc="B8D42CA2">
      <w:start w:val="1"/>
      <w:numFmt w:val="bullet"/>
      <w:lvlText w:val="o"/>
      <w:lvlJc w:val="left"/>
      <w:pPr>
        <w:ind w:left="3600" w:hanging="360"/>
      </w:pPr>
      <w:rPr>
        <w:rFonts w:ascii="Courier New" w:hAnsi="Courier New" w:cs="Courier New" w:hint="default"/>
      </w:rPr>
    </w:lvl>
    <w:lvl w:ilvl="5" w:tplc="A63CF98A">
      <w:start w:val="1"/>
      <w:numFmt w:val="bullet"/>
      <w:lvlText w:val=""/>
      <w:lvlJc w:val="left"/>
      <w:pPr>
        <w:ind w:left="4320" w:hanging="360"/>
      </w:pPr>
      <w:rPr>
        <w:rFonts w:ascii="Wingdings" w:hAnsi="Wingdings" w:hint="default"/>
      </w:rPr>
    </w:lvl>
    <w:lvl w:ilvl="6" w:tplc="C6BE23EC">
      <w:start w:val="1"/>
      <w:numFmt w:val="bullet"/>
      <w:lvlText w:val=""/>
      <w:lvlJc w:val="left"/>
      <w:pPr>
        <w:ind w:left="5040" w:hanging="360"/>
      </w:pPr>
      <w:rPr>
        <w:rFonts w:ascii="Symbol" w:hAnsi="Symbol" w:hint="default"/>
      </w:rPr>
    </w:lvl>
    <w:lvl w:ilvl="7" w:tplc="6BCE1DFA">
      <w:start w:val="1"/>
      <w:numFmt w:val="bullet"/>
      <w:lvlText w:val="o"/>
      <w:lvlJc w:val="left"/>
      <w:pPr>
        <w:ind w:left="5760" w:hanging="360"/>
      </w:pPr>
      <w:rPr>
        <w:rFonts w:ascii="Courier New" w:hAnsi="Courier New" w:cs="Courier New" w:hint="default"/>
      </w:rPr>
    </w:lvl>
    <w:lvl w:ilvl="8" w:tplc="6354FDF6">
      <w:start w:val="1"/>
      <w:numFmt w:val="bullet"/>
      <w:lvlText w:val=""/>
      <w:lvlJc w:val="left"/>
      <w:pPr>
        <w:ind w:left="6480" w:hanging="360"/>
      </w:pPr>
      <w:rPr>
        <w:rFonts w:ascii="Wingdings" w:hAnsi="Wingdings" w:hint="default"/>
      </w:rPr>
    </w:lvl>
  </w:abstractNum>
  <w:abstractNum w:abstractNumId="4" w15:restartNumberingAfterBreak="0">
    <w:nsid w:val="26036DC0"/>
    <w:multiLevelType w:val="hybridMultilevel"/>
    <w:tmpl w:val="EB54B99E"/>
    <w:lvl w:ilvl="0" w:tplc="040C000F">
      <w:start w:val="1"/>
      <w:numFmt w:val="decimal"/>
      <w:lvlText w:val="%1."/>
      <w:lvlJc w:val="left"/>
      <w:pPr>
        <w:ind w:left="720" w:hanging="360"/>
      </w:pPr>
      <w:rPr>
        <w:rFonts w:hint="default"/>
      </w:rPr>
    </w:lvl>
    <w:lvl w:ilvl="1" w:tplc="DFBCCA52">
      <w:start w:val="1"/>
      <w:numFmt w:val="bullet"/>
      <w:lvlText w:val="o"/>
      <w:lvlJc w:val="left"/>
      <w:pPr>
        <w:ind w:left="1440" w:hanging="360"/>
      </w:pPr>
      <w:rPr>
        <w:rFonts w:ascii="Courier New" w:hAnsi="Courier New" w:cs="Courier New" w:hint="default"/>
      </w:rPr>
    </w:lvl>
    <w:lvl w:ilvl="2" w:tplc="542EBC50">
      <w:start w:val="1"/>
      <w:numFmt w:val="bullet"/>
      <w:lvlText w:val=""/>
      <w:lvlJc w:val="left"/>
      <w:pPr>
        <w:ind w:left="2160" w:hanging="360"/>
      </w:pPr>
      <w:rPr>
        <w:rFonts w:ascii="Wingdings" w:hAnsi="Wingdings" w:hint="default"/>
      </w:rPr>
    </w:lvl>
    <w:lvl w:ilvl="3" w:tplc="FAF4FFE6">
      <w:start w:val="1"/>
      <w:numFmt w:val="bullet"/>
      <w:lvlText w:val=""/>
      <w:lvlJc w:val="left"/>
      <w:pPr>
        <w:ind w:left="2880" w:hanging="360"/>
      </w:pPr>
      <w:rPr>
        <w:rFonts w:ascii="Symbol" w:hAnsi="Symbol" w:hint="default"/>
      </w:rPr>
    </w:lvl>
    <w:lvl w:ilvl="4" w:tplc="E224FC06">
      <w:start w:val="1"/>
      <w:numFmt w:val="bullet"/>
      <w:lvlText w:val="o"/>
      <w:lvlJc w:val="left"/>
      <w:pPr>
        <w:ind w:left="3600" w:hanging="360"/>
      </w:pPr>
      <w:rPr>
        <w:rFonts w:ascii="Courier New" w:hAnsi="Courier New" w:cs="Courier New" w:hint="default"/>
      </w:rPr>
    </w:lvl>
    <w:lvl w:ilvl="5" w:tplc="F7A644A4">
      <w:start w:val="1"/>
      <w:numFmt w:val="bullet"/>
      <w:lvlText w:val=""/>
      <w:lvlJc w:val="left"/>
      <w:pPr>
        <w:ind w:left="4320" w:hanging="360"/>
      </w:pPr>
      <w:rPr>
        <w:rFonts w:ascii="Wingdings" w:hAnsi="Wingdings" w:hint="default"/>
      </w:rPr>
    </w:lvl>
    <w:lvl w:ilvl="6" w:tplc="D4B4916E">
      <w:start w:val="1"/>
      <w:numFmt w:val="bullet"/>
      <w:lvlText w:val=""/>
      <w:lvlJc w:val="left"/>
      <w:pPr>
        <w:ind w:left="5040" w:hanging="360"/>
      </w:pPr>
      <w:rPr>
        <w:rFonts w:ascii="Symbol" w:hAnsi="Symbol" w:hint="default"/>
      </w:rPr>
    </w:lvl>
    <w:lvl w:ilvl="7" w:tplc="B658EFFA">
      <w:start w:val="1"/>
      <w:numFmt w:val="bullet"/>
      <w:lvlText w:val="o"/>
      <w:lvlJc w:val="left"/>
      <w:pPr>
        <w:ind w:left="5760" w:hanging="360"/>
      </w:pPr>
      <w:rPr>
        <w:rFonts w:ascii="Courier New" w:hAnsi="Courier New" w:cs="Courier New" w:hint="default"/>
      </w:rPr>
    </w:lvl>
    <w:lvl w:ilvl="8" w:tplc="FBDE09D2">
      <w:start w:val="1"/>
      <w:numFmt w:val="bullet"/>
      <w:lvlText w:val=""/>
      <w:lvlJc w:val="left"/>
      <w:pPr>
        <w:ind w:left="6480" w:hanging="360"/>
      </w:pPr>
      <w:rPr>
        <w:rFonts w:ascii="Wingdings" w:hAnsi="Wingdings" w:hint="default"/>
      </w:rPr>
    </w:lvl>
  </w:abstractNum>
  <w:abstractNum w:abstractNumId="5" w15:restartNumberingAfterBreak="0">
    <w:nsid w:val="28B8607E"/>
    <w:multiLevelType w:val="hybridMultilevel"/>
    <w:tmpl w:val="058C22AE"/>
    <w:lvl w:ilvl="0" w:tplc="ECBEF0CC">
      <w:start w:val="1"/>
      <w:numFmt w:val="decimal"/>
      <w:lvlText w:val="%1."/>
      <w:lvlJc w:val="left"/>
      <w:pPr>
        <w:ind w:left="720" w:hanging="360"/>
      </w:pPr>
    </w:lvl>
    <w:lvl w:ilvl="1" w:tplc="8D161036">
      <w:start w:val="1"/>
      <w:numFmt w:val="lowerLetter"/>
      <w:lvlText w:val="%2."/>
      <w:lvlJc w:val="left"/>
      <w:pPr>
        <w:ind w:left="1440" w:hanging="360"/>
      </w:pPr>
    </w:lvl>
    <w:lvl w:ilvl="2" w:tplc="4E2C61C0">
      <w:start w:val="1"/>
      <w:numFmt w:val="lowerRoman"/>
      <w:lvlText w:val="%3."/>
      <w:lvlJc w:val="right"/>
      <w:pPr>
        <w:ind w:left="2160" w:hanging="180"/>
      </w:pPr>
    </w:lvl>
    <w:lvl w:ilvl="3" w:tplc="97088DE4">
      <w:start w:val="1"/>
      <w:numFmt w:val="decimal"/>
      <w:lvlText w:val="%4."/>
      <w:lvlJc w:val="left"/>
      <w:pPr>
        <w:ind w:left="2880" w:hanging="360"/>
      </w:pPr>
    </w:lvl>
    <w:lvl w:ilvl="4" w:tplc="0956A100">
      <w:start w:val="1"/>
      <w:numFmt w:val="lowerLetter"/>
      <w:lvlText w:val="%5."/>
      <w:lvlJc w:val="left"/>
      <w:pPr>
        <w:ind w:left="3600" w:hanging="360"/>
      </w:pPr>
    </w:lvl>
    <w:lvl w:ilvl="5" w:tplc="29A2AF00">
      <w:start w:val="1"/>
      <w:numFmt w:val="lowerRoman"/>
      <w:lvlText w:val="%6."/>
      <w:lvlJc w:val="right"/>
      <w:pPr>
        <w:ind w:left="4320" w:hanging="180"/>
      </w:pPr>
    </w:lvl>
    <w:lvl w:ilvl="6" w:tplc="1244003C">
      <w:start w:val="1"/>
      <w:numFmt w:val="decimal"/>
      <w:lvlText w:val="%7."/>
      <w:lvlJc w:val="left"/>
      <w:pPr>
        <w:ind w:left="5040" w:hanging="360"/>
      </w:pPr>
    </w:lvl>
    <w:lvl w:ilvl="7" w:tplc="7C5C4FF4">
      <w:start w:val="1"/>
      <w:numFmt w:val="lowerLetter"/>
      <w:lvlText w:val="%8."/>
      <w:lvlJc w:val="left"/>
      <w:pPr>
        <w:ind w:left="5760" w:hanging="360"/>
      </w:pPr>
    </w:lvl>
    <w:lvl w:ilvl="8" w:tplc="BA529618">
      <w:start w:val="1"/>
      <w:numFmt w:val="lowerRoman"/>
      <w:lvlText w:val="%9."/>
      <w:lvlJc w:val="right"/>
      <w:pPr>
        <w:ind w:left="6480" w:hanging="180"/>
      </w:pPr>
    </w:lvl>
  </w:abstractNum>
  <w:abstractNum w:abstractNumId="6" w15:restartNumberingAfterBreak="0">
    <w:nsid w:val="2BE66470"/>
    <w:multiLevelType w:val="hybridMultilevel"/>
    <w:tmpl w:val="E79E441C"/>
    <w:lvl w:ilvl="0" w:tplc="7B1A1EA8">
      <w:start w:val="1"/>
      <w:numFmt w:val="bullet"/>
      <w:lvlText w:val=""/>
      <w:lvlJc w:val="left"/>
      <w:pPr>
        <w:ind w:left="720" w:hanging="360"/>
      </w:pPr>
      <w:rPr>
        <w:rFonts w:ascii="Symbol" w:hAnsi="Symbol" w:hint="default"/>
      </w:rPr>
    </w:lvl>
    <w:lvl w:ilvl="1" w:tplc="898AF3E6">
      <w:start w:val="1"/>
      <w:numFmt w:val="bullet"/>
      <w:lvlText w:val="o"/>
      <w:lvlJc w:val="left"/>
      <w:pPr>
        <w:ind w:left="1440" w:hanging="360"/>
      </w:pPr>
      <w:rPr>
        <w:rFonts w:ascii="Courier New" w:hAnsi="Courier New" w:cs="Courier New" w:hint="default"/>
      </w:rPr>
    </w:lvl>
    <w:lvl w:ilvl="2" w:tplc="80E080BA">
      <w:start w:val="1"/>
      <w:numFmt w:val="bullet"/>
      <w:lvlText w:val=""/>
      <w:lvlJc w:val="left"/>
      <w:pPr>
        <w:ind w:left="2160" w:hanging="360"/>
      </w:pPr>
      <w:rPr>
        <w:rFonts w:ascii="Wingdings" w:hAnsi="Wingdings" w:hint="default"/>
      </w:rPr>
    </w:lvl>
    <w:lvl w:ilvl="3" w:tplc="DB944EA8">
      <w:start w:val="1"/>
      <w:numFmt w:val="bullet"/>
      <w:lvlText w:val=""/>
      <w:lvlJc w:val="left"/>
      <w:pPr>
        <w:ind w:left="2880" w:hanging="360"/>
      </w:pPr>
      <w:rPr>
        <w:rFonts w:ascii="Symbol" w:hAnsi="Symbol" w:hint="default"/>
      </w:rPr>
    </w:lvl>
    <w:lvl w:ilvl="4" w:tplc="167C0612">
      <w:start w:val="1"/>
      <w:numFmt w:val="bullet"/>
      <w:lvlText w:val="o"/>
      <w:lvlJc w:val="left"/>
      <w:pPr>
        <w:ind w:left="3600" w:hanging="360"/>
      </w:pPr>
      <w:rPr>
        <w:rFonts w:ascii="Courier New" w:hAnsi="Courier New" w:cs="Courier New" w:hint="default"/>
      </w:rPr>
    </w:lvl>
    <w:lvl w:ilvl="5" w:tplc="55E0F57A">
      <w:start w:val="1"/>
      <w:numFmt w:val="bullet"/>
      <w:lvlText w:val=""/>
      <w:lvlJc w:val="left"/>
      <w:pPr>
        <w:ind w:left="4320" w:hanging="360"/>
      </w:pPr>
      <w:rPr>
        <w:rFonts w:ascii="Wingdings" w:hAnsi="Wingdings" w:hint="default"/>
      </w:rPr>
    </w:lvl>
    <w:lvl w:ilvl="6" w:tplc="1310C3DC">
      <w:start w:val="1"/>
      <w:numFmt w:val="bullet"/>
      <w:lvlText w:val=""/>
      <w:lvlJc w:val="left"/>
      <w:pPr>
        <w:ind w:left="5040" w:hanging="360"/>
      </w:pPr>
      <w:rPr>
        <w:rFonts w:ascii="Symbol" w:hAnsi="Symbol" w:hint="default"/>
      </w:rPr>
    </w:lvl>
    <w:lvl w:ilvl="7" w:tplc="4B72A3CC">
      <w:start w:val="1"/>
      <w:numFmt w:val="bullet"/>
      <w:lvlText w:val="o"/>
      <w:lvlJc w:val="left"/>
      <w:pPr>
        <w:ind w:left="5760" w:hanging="360"/>
      </w:pPr>
      <w:rPr>
        <w:rFonts w:ascii="Courier New" w:hAnsi="Courier New" w:cs="Courier New" w:hint="default"/>
      </w:rPr>
    </w:lvl>
    <w:lvl w:ilvl="8" w:tplc="4F8E690A">
      <w:start w:val="1"/>
      <w:numFmt w:val="bullet"/>
      <w:lvlText w:val=""/>
      <w:lvlJc w:val="left"/>
      <w:pPr>
        <w:ind w:left="6480" w:hanging="360"/>
      </w:pPr>
      <w:rPr>
        <w:rFonts w:ascii="Wingdings" w:hAnsi="Wingdings" w:hint="default"/>
      </w:rPr>
    </w:lvl>
  </w:abstractNum>
  <w:abstractNum w:abstractNumId="7" w15:restartNumberingAfterBreak="0">
    <w:nsid w:val="3327260F"/>
    <w:multiLevelType w:val="hybridMultilevel"/>
    <w:tmpl w:val="7D1E7FCE"/>
    <w:styleLink w:val="Listenumrote"/>
    <w:lvl w:ilvl="0" w:tplc="788AAFF4">
      <w:start w:val="1"/>
      <w:numFmt w:val="decimal"/>
      <w:pStyle w:val="Listenumrote"/>
      <w:lvlText w:val="%1)"/>
      <w:lvlJc w:val="left"/>
      <w:pPr>
        <w:ind w:left="288" w:hanging="288"/>
      </w:pPr>
    </w:lvl>
    <w:lvl w:ilvl="1" w:tplc="ABC29BA6">
      <w:start w:val="1"/>
      <w:numFmt w:val="lowerLetter"/>
      <w:lvlText w:val="%2)"/>
      <w:lvlJc w:val="left"/>
      <w:pPr>
        <w:ind w:left="576" w:hanging="288"/>
      </w:pPr>
      <w:rPr>
        <w:rFonts w:hint="default"/>
        <w:color w:val="17406D" w:themeColor="text2"/>
      </w:rPr>
    </w:lvl>
    <w:lvl w:ilvl="2" w:tplc="DDAA3DCE">
      <w:start w:val="1"/>
      <w:numFmt w:val="lowerRoman"/>
      <w:lvlText w:val="%3)"/>
      <w:lvlJc w:val="left"/>
      <w:pPr>
        <w:ind w:left="864" w:hanging="288"/>
      </w:pPr>
      <w:rPr>
        <w:rFonts w:hint="default"/>
        <w:color w:val="17406D" w:themeColor="text2"/>
      </w:rPr>
    </w:lvl>
    <w:lvl w:ilvl="3" w:tplc="994C86E0">
      <w:start w:val="1"/>
      <w:numFmt w:val="decimal"/>
      <w:lvlText w:val="(%4)"/>
      <w:lvlJc w:val="left"/>
      <w:pPr>
        <w:ind w:left="1152" w:hanging="288"/>
      </w:pPr>
      <w:rPr>
        <w:rFonts w:hint="default"/>
        <w:color w:val="17406D" w:themeColor="text2"/>
      </w:rPr>
    </w:lvl>
    <w:lvl w:ilvl="4" w:tplc="B5F035AE">
      <w:start w:val="1"/>
      <w:numFmt w:val="lowerLetter"/>
      <w:lvlText w:val="(%5)"/>
      <w:lvlJc w:val="left"/>
      <w:pPr>
        <w:ind w:left="1440" w:hanging="288"/>
      </w:pPr>
      <w:rPr>
        <w:rFonts w:hint="default"/>
        <w:color w:val="17406D" w:themeColor="text2"/>
      </w:rPr>
    </w:lvl>
    <w:lvl w:ilvl="5" w:tplc="B6009610">
      <w:start w:val="1"/>
      <w:numFmt w:val="lowerRoman"/>
      <w:lvlText w:val="(%6)"/>
      <w:lvlJc w:val="left"/>
      <w:pPr>
        <w:ind w:left="1728" w:hanging="288"/>
      </w:pPr>
      <w:rPr>
        <w:rFonts w:hint="default"/>
        <w:color w:val="17406D" w:themeColor="text2"/>
      </w:rPr>
    </w:lvl>
    <w:lvl w:ilvl="6" w:tplc="5C22EDD4">
      <w:start w:val="1"/>
      <w:numFmt w:val="decimal"/>
      <w:lvlText w:val="%7."/>
      <w:lvlJc w:val="left"/>
      <w:pPr>
        <w:ind w:left="2016" w:hanging="288"/>
      </w:pPr>
      <w:rPr>
        <w:rFonts w:hint="default"/>
        <w:color w:val="17406D" w:themeColor="text2"/>
      </w:rPr>
    </w:lvl>
    <w:lvl w:ilvl="7" w:tplc="6DEEDEFE">
      <w:start w:val="1"/>
      <w:numFmt w:val="lowerLetter"/>
      <w:lvlText w:val="%8."/>
      <w:lvlJc w:val="left"/>
      <w:pPr>
        <w:ind w:left="2304" w:hanging="288"/>
      </w:pPr>
      <w:rPr>
        <w:rFonts w:hint="default"/>
        <w:color w:val="17406D" w:themeColor="text2"/>
      </w:rPr>
    </w:lvl>
    <w:lvl w:ilvl="8" w:tplc="4F46C98E">
      <w:start w:val="1"/>
      <w:numFmt w:val="lowerRoman"/>
      <w:lvlText w:val="%9."/>
      <w:lvlJc w:val="left"/>
      <w:pPr>
        <w:ind w:left="2592" w:hanging="288"/>
      </w:pPr>
      <w:rPr>
        <w:rFonts w:hint="default"/>
        <w:color w:val="17406D" w:themeColor="text2"/>
      </w:rPr>
    </w:lvl>
  </w:abstractNum>
  <w:abstractNum w:abstractNumId="8" w15:restartNumberingAfterBreak="0">
    <w:nsid w:val="34F31BD6"/>
    <w:multiLevelType w:val="hybridMultilevel"/>
    <w:tmpl w:val="2AF8BC16"/>
    <w:lvl w:ilvl="0" w:tplc="0A42C0C0">
      <w:start w:val="1"/>
      <w:numFmt w:val="bullet"/>
      <w:lvlText w:val=""/>
      <w:lvlJc w:val="left"/>
      <w:pPr>
        <w:ind w:left="720" w:hanging="360"/>
      </w:pPr>
      <w:rPr>
        <w:rFonts w:ascii="Symbol" w:hAnsi="Symbol" w:hint="default"/>
      </w:rPr>
    </w:lvl>
    <w:lvl w:ilvl="1" w:tplc="0804CB0E">
      <w:start w:val="1"/>
      <w:numFmt w:val="bullet"/>
      <w:lvlText w:val="o"/>
      <w:lvlJc w:val="left"/>
      <w:pPr>
        <w:ind w:left="1440" w:hanging="360"/>
      </w:pPr>
      <w:rPr>
        <w:rFonts w:ascii="Courier New" w:hAnsi="Courier New" w:cs="Courier New" w:hint="default"/>
      </w:rPr>
    </w:lvl>
    <w:lvl w:ilvl="2" w:tplc="86B095F4">
      <w:start w:val="1"/>
      <w:numFmt w:val="bullet"/>
      <w:lvlText w:val=""/>
      <w:lvlJc w:val="left"/>
      <w:pPr>
        <w:ind w:left="2160" w:hanging="360"/>
      </w:pPr>
      <w:rPr>
        <w:rFonts w:ascii="Wingdings" w:hAnsi="Wingdings" w:hint="default"/>
      </w:rPr>
    </w:lvl>
    <w:lvl w:ilvl="3" w:tplc="2C46FD08">
      <w:start w:val="1"/>
      <w:numFmt w:val="bullet"/>
      <w:lvlText w:val=""/>
      <w:lvlJc w:val="left"/>
      <w:pPr>
        <w:ind w:left="2880" w:hanging="360"/>
      </w:pPr>
      <w:rPr>
        <w:rFonts w:ascii="Symbol" w:hAnsi="Symbol" w:hint="default"/>
      </w:rPr>
    </w:lvl>
    <w:lvl w:ilvl="4" w:tplc="A398667C">
      <w:start w:val="1"/>
      <w:numFmt w:val="bullet"/>
      <w:lvlText w:val="o"/>
      <w:lvlJc w:val="left"/>
      <w:pPr>
        <w:ind w:left="3600" w:hanging="360"/>
      </w:pPr>
      <w:rPr>
        <w:rFonts w:ascii="Courier New" w:hAnsi="Courier New" w:cs="Courier New" w:hint="default"/>
      </w:rPr>
    </w:lvl>
    <w:lvl w:ilvl="5" w:tplc="3C222F2E">
      <w:start w:val="1"/>
      <w:numFmt w:val="bullet"/>
      <w:lvlText w:val=""/>
      <w:lvlJc w:val="left"/>
      <w:pPr>
        <w:ind w:left="4320" w:hanging="360"/>
      </w:pPr>
      <w:rPr>
        <w:rFonts w:ascii="Wingdings" w:hAnsi="Wingdings" w:hint="default"/>
      </w:rPr>
    </w:lvl>
    <w:lvl w:ilvl="6" w:tplc="73B0BB0A">
      <w:start w:val="1"/>
      <w:numFmt w:val="bullet"/>
      <w:lvlText w:val=""/>
      <w:lvlJc w:val="left"/>
      <w:pPr>
        <w:ind w:left="5040" w:hanging="360"/>
      </w:pPr>
      <w:rPr>
        <w:rFonts w:ascii="Symbol" w:hAnsi="Symbol" w:hint="default"/>
      </w:rPr>
    </w:lvl>
    <w:lvl w:ilvl="7" w:tplc="F6E6858A">
      <w:start w:val="1"/>
      <w:numFmt w:val="bullet"/>
      <w:lvlText w:val="o"/>
      <w:lvlJc w:val="left"/>
      <w:pPr>
        <w:ind w:left="5760" w:hanging="360"/>
      </w:pPr>
      <w:rPr>
        <w:rFonts w:ascii="Courier New" w:hAnsi="Courier New" w:cs="Courier New" w:hint="default"/>
      </w:rPr>
    </w:lvl>
    <w:lvl w:ilvl="8" w:tplc="918AE088">
      <w:start w:val="1"/>
      <w:numFmt w:val="bullet"/>
      <w:lvlText w:val=""/>
      <w:lvlJc w:val="left"/>
      <w:pPr>
        <w:ind w:left="6480" w:hanging="360"/>
      </w:pPr>
      <w:rPr>
        <w:rFonts w:ascii="Wingdings" w:hAnsi="Wingdings" w:hint="default"/>
      </w:rPr>
    </w:lvl>
  </w:abstractNum>
  <w:abstractNum w:abstractNumId="9" w15:restartNumberingAfterBreak="0">
    <w:nsid w:val="39C57CE4"/>
    <w:multiLevelType w:val="hybridMultilevel"/>
    <w:tmpl w:val="FFD09294"/>
    <w:lvl w:ilvl="0" w:tplc="C590A32C">
      <w:start w:val="1"/>
      <w:numFmt w:val="bullet"/>
      <w:lvlText w:val=""/>
      <w:lvlJc w:val="left"/>
      <w:pPr>
        <w:ind w:left="720" w:hanging="360"/>
      </w:pPr>
      <w:rPr>
        <w:rFonts w:ascii="Symbol" w:hAnsi="Symbol" w:hint="default"/>
      </w:rPr>
    </w:lvl>
    <w:lvl w:ilvl="1" w:tplc="613C8F6C">
      <w:start w:val="1"/>
      <w:numFmt w:val="bullet"/>
      <w:lvlText w:val="o"/>
      <w:lvlJc w:val="left"/>
      <w:pPr>
        <w:ind w:left="1440" w:hanging="360"/>
      </w:pPr>
      <w:rPr>
        <w:rFonts w:ascii="Courier New" w:hAnsi="Courier New" w:cs="Courier New" w:hint="default"/>
      </w:rPr>
    </w:lvl>
    <w:lvl w:ilvl="2" w:tplc="A9C20910">
      <w:start w:val="1"/>
      <w:numFmt w:val="bullet"/>
      <w:lvlText w:val=""/>
      <w:lvlJc w:val="left"/>
      <w:pPr>
        <w:ind w:left="2160" w:hanging="360"/>
      </w:pPr>
      <w:rPr>
        <w:rFonts w:ascii="Wingdings" w:hAnsi="Wingdings" w:hint="default"/>
      </w:rPr>
    </w:lvl>
    <w:lvl w:ilvl="3" w:tplc="F2AEA13E">
      <w:start w:val="1"/>
      <w:numFmt w:val="bullet"/>
      <w:lvlText w:val=""/>
      <w:lvlJc w:val="left"/>
      <w:pPr>
        <w:ind w:left="2880" w:hanging="360"/>
      </w:pPr>
      <w:rPr>
        <w:rFonts w:ascii="Symbol" w:hAnsi="Symbol" w:hint="default"/>
      </w:rPr>
    </w:lvl>
    <w:lvl w:ilvl="4" w:tplc="488A4B54">
      <w:start w:val="1"/>
      <w:numFmt w:val="bullet"/>
      <w:lvlText w:val="o"/>
      <w:lvlJc w:val="left"/>
      <w:pPr>
        <w:ind w:left="3600" w:hanging="360"/>
      </w:pPr>
      <w:rPr>
        <w:rFonts w:ascii="Courier New" w:hAnsi="Courier New" w:cs="Courier New" w:hint="default"/>
      </w:rPr>
    </w:lvl>
    <w:lvl w:ilvl="5" w:tplc="61E0370C">
      <w:start w:val="1"/>
      <w:numFmt w:val="bullet"/>
      <w:lvlText w:val=""/>
      <w:lvlJc w:val="left"/>
      <w:pPr>
        <w:ind w:left="4320" w:hanging="360"/>
      </w:pPr>
      <w:rPr>
        <w:rFonts w:ascii="Wingdings" w:hAnsi="Wingdings" w:hint="default"/>
      </w:rPr>
    </w:lvl>
    <w:lvl w:ilvl="6" w:tplc="4B042B5C">
      <w:start w:val="1"/>
      <w:numFmt w:val="bullet"/>
      <w:lvlText w:val=""/>
      <w:lvlJc w:val="left"/>
      <w:pPr>
        <w:ind w:left="5040" w:hanging="360"/>
      </w:pPr>
      <w:rPr>
        <w:rFonts w:ascii="Symbol" w:hAnsi="Symbol" w:hint="default"/>
      </w:rPr>
    </w:lvl>
    <w:lvl w:ilvl="7" w:tplc="EBF25F60">
      <w:start w:val="1"/>
      <w:numFmt w:val="bullet"/>
      <w:lvlText w:val="o"/>
      <w:lvlJc w:val="left"/>
      <w:pPr>
        <w:ind w:left="5760" w:hanging="360"/>
      </w:pPr>
      <w:rPr>
        <w:rFonts w:ascii="Courier New" w:hAnsi="Courier New" w:cs="Courier New" w:hint="default"/>
      </w:rPr>
    </w:lvl>
    <w:lvl w:ilvl="8" w:tplc="53BA8E78">
      <w:start w:val="1"/>
      <w:numFmt w:val="bullet"/>
      <w:lvlText w:val=""/>
      <w:lvlJc w:val="left"/>
      <w:pPr>
        <w:ind w:left="6480" w:hanging="360"/>
      </w:pPr>
      <w:rPr>
        <w:rFonts w:ascii="Wingdings" w:hAnsi="Wingdings" w:hint="default"/>
      </w:rPr>
    </w:lvl>
  </w:abstractNum>
  <w:abstractNum w:abstractNumId="10" w15:restartNumberingAfterBreak="0">
    <w:nsid w:val="40BE0937"/>
    <w:multiLevelType w:val="hybridMultilevel"/>
    <w:tmpl w:val="488803F0"/>
    <w:lvl w:ilvl="0" w:tplc="91C47266">
      <w:start w:val="1"/>
      <w:numFmt w:val="bullet"/>
      <w:lvlText w:val=""/>
      <w:lvlJc w:val="left"/>
      <w:pPr>
        <w:ind w:left="720" w:hanging="360"/>
      </w:pPr>
      <w:rPr>
        <w:rFonts w:ascii="Symbol" w:hAnsi="Symbol" w:hint="default"/>
      </w:rPr>
    </w:lvl>
    <w:lvl w:ilvl="1" w:tplc="460234DC">
      <w:start w:val="1"/>
      <w:numFmt w:val="bullet"/>
      <w:lvlText w:val="o"/>
      <w:lvlJc w:val="left"/>
      <w:pPr>
        <w:ind w:left="1440" w:hanging="360"/>
      </w:pPr>
      <w:rPr>
        <w:rFonts w:ascii="Courier New" w:hAnsi="Courier New" w:cs="Courier New" w:hint="default"/>
      </w:rPr>
    </w:lvl>
    <w:lvl w:ilvl="2" w:tplc="2F08983E">
      <w:start w:val="1"/>
      <w:numFmt w:val="bullet"/>
      <w:lvlText w:val=""/>
      <w:lvlJc w:val="left"/>
      <w:pPr>
        <w:ind w:left="2160" w:hanging="360"/>
      </w:pPr>
      <w:rPr>
        <w:rFonts w:ascii="Wingdings" w:hAnsi="Wingdings" w:hint="default"/>
      </w:rPr>
    </w:lvl>
    <w:lvl w:ilvl="3" w:tplc="FA5E923A">
      <w:start w:val="1"/>
      <w:numFmt w:val="bullet"/>
      <w:lvlText w:val=""/>
      <w:lvlJc w:val="left"/>
      <w:pPr>
        <w:ind w:left="2880" w:hanging="360"/>
      </w:pPr>
      <w:rPr>
        <w:rFonts w:ascii="Symbol" w:hAnsi="Symbol" w:hint="default"/>
      </w:rPr>
    </w:lvl>
    <w:lvl w:ilvl="4" w:tplc="3E243C7C">
      <w:start w:val="1"/>
      <w:numFmt w:val="bullet"/>
      <w:lvlText w:val="o"/>
      <w:lvlJc w:val="left"/>
      <w:pPr>
        <w:ind w:left="3600" w:hanging="360"/>
      </w:pPr>
      <w:rPr>
        <w:rFonts w:ascii="Courier New" w:hAnsi="Courier New" w:cs="Courier New" w:hint="default"/>
      </w:rPr>
    </w:lvl>
    <w:lvl w:ilvl="5" w:tplc="BCF21556">
      <w:start w:val="1"/>
      <w:numFmt w:val="bullet"/>
      <w:lvlText w:val=""/>
      <w:lvlJc w:val="left"/>
      <w:pPr>
        <w:ind w:left="4320" w:hanging="360"/>
      </w:pPr>
      <w:rPr>
        <w:rFonts w:ascii="Wingdings" w:hAnsi="Wingdings" w:hint="default"/>
      </w:rPr>
    </w:lvl>
    <w:lvl w:ilvl="6" w:tplc="CAB071FE">
      <w:start w:val="1"/>
      <w:numFmt w:val="bullet"/>
      <w:lvlText w:val=""/>
      <w:lvlJc w:val="left"/>
      <w:pPr>
        <w:ind w:left="5040" w:hanging="360"/>
      </w:pPr>
      <w:rPr>
        <w:rFonts w:ascii="Symbol" w:hAnsi="Symbol" w:hint="default"/>
      </w:rPr>
    </w:lvl>
    <w:lvl w:ilvl="7" w:tplc="806C2D42">
      <w:start w:val="1"/>
      <w:numFmt w:val="bullet"/>
      <w:lvlText w:val="o"/>
      <w:lvlJc w:val="left"/>
      <w:pPr>
        <w:ind w:left="5760" w:hanging="360"/>
      </w:pPr>
      <w:rPr>
        <w:rFonts w:ascii="Courier New" w:hAnsi="Courier New" w:cs="Courier New" w:hint="default"/>
      </w:rPr>
    </w:lvl>
    <w:lvl w:ilvl="8" w:tplc="CBC0060C">
      <w:start w:val="1"/>
      <w:numFmt w:val="bullet"/>
      <w:lvlText w:val=""/>
      <w:lvlJc w:val="left"/>
      <w:pPr>
        <w:ind w:left="6480" w:hanging="360"/>
      </w:pPr>
      <w:rPr>
        <w:rFonts w:ascii="Wingdings" w:hAnsi="Wingdings" w:hint="default"/>
      </w:rPr>
    </w:lvl>
  </w:abstractNum>
  <w:abstractNum w:abstractNumId="11" w15:restartNumberingAfterBreak="0">
    <w:nsid w:val="43A1454C"/>
    <w:multiLevelType w:val="hybridMultilevel"/>
    <w:tmpl w:val="7A023D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3C15B4B"/>
    <w:multiLevelType w:val="hybridMultilevel"/>
    <w:tmpl w:val="3B1E7088"/>
    <w:lvl w:ilvl="0" w:tplc="918E7ED6">
      <w:start w:val="1"/>
      <w:numFmt w:val="bullet"/>
      <w:lvlText w:val=""/>
      <w:lvlJc w:val="left"/>
      <w:pPr>
        <w:ind w:left="720" w:hanging="360"/>
      </w:pPr>
      <w:rPr>
        <w:rFonts w:ascii="Symbol" w:hAnsi="Symbol" w:hint="default"/>
      </w:rPr>
    </w:lvl>
    <w:lvl w:ilvl="1" w:tplc="7644A9EE">
      <w:start w:val="1"/>
      <w:numFmt w:val="bullet"/>
      <w:lvlText w:val="o"/>
      <w:lvlJc w:val="left"/>
      <w:pPr>
        <w:ind w:left="1440" w:hanging="360"/>
      </w:pPr>
      <w:rPr>
        <w:rFonts w:ascii="Courier New" w:hAnsi="Courier New" w:cs="Courier New" w:hint="default"/>
      </w:rPr>
    </w:lvl>
    <w:lvl w:ilvl="2" w:tplc="96D85F5C">
      <w:start w:val="1"/>
      <w:numFmt w:val="bullet"/>
      <w:lvlText w:val=""/>
      <w:lvlJc w:val="left"/>
      <w:pPr>
        <w:ind w:left="2160" w:hanging="360"/>
      </w:pPr>
      <w:rPr>
        <w:rFonts w:ascii="Wingdings" w:hAnsi="Wingdings" w:hint="default"/>
      </w:rPr>
    </w:lvl>
    <w:lvl w:ilvl="3" w:tplc="BC741DE8">
      <w:start w:val="1"/>
      <w:numFmt w:val="bullet"/>
      <w:lvlText w:val=""/>
      <w:lvlJc w:val="left"/>
      <w:pPr>
        <w:ind w:left="2880" w:hanging="360"/>
      </w:pPr>
      <w:rPr>
        <w:rFonts w:ascii="Symbol" w:hAnsi="Symbol" w:hint="default"/>
      </w:rPr>
    </w:lvl>
    <w:lvl w:ilvl="4" w:tplc="CB227AF2">
      <w:start w:val="1"/>
      <w:numFmt w:val="bullet"/>
      <w:lvlText w:val="o"/>
      <w:lvlJc w:val="left"/>
      <w:pPr>
        <w:ind w:left="3600" w:hanging="360"/>
      </w:pPr>
      <w:rPr>
        <w:rFonts w:ascii="Courier New" w:hAnsi="Courier New" w:cs="Courier New" w:hint="default"/>
      </w:rPr>
    </w:lvl>
    <w:lvl w:ilvl="5" w:tplc="2AAA1142">
      <w:start w:val="1"/>
      <w:numFmt w:val="bullet"/>
      <w:lvlText w:val=""/>
      <w:lvlJc w:val="left"/>
      <w:pPr>
        <w:ind w:left="4320" w:hanging="360"/>
      </w:pPr>
      <w:rPr>
        <w:rFonts w:ascii="Wingdings" w:hAnsi="Wingdings" w:hint="default"/>
      </w:rPr>
    </w:lvl>
    <w:lvl w:ilvl="6" w:tplc="882692F0">
      <w:start w:val="1"/>
      <w:numFmt w:val="bullet"/>
      <w:lvlText w:val=""/>
      <w:lvlJc w:val="left"/>
      <w:pPr>
        <w:ind w:left="5040" w:hanging="360"/>
      </w:pPr>
      <w:rPr>
        <w:rFonts w:ascii="Symbol" w:hAnsi="Symbol" w:hint="default"/>
      </w:rPr>
    </w:lvl>
    <w:lvl w:ilvl="7" w:tplc="A3D49C16">
      <w:start w:val="1"/>
      <w:numFmt w:val="bullet"/>
      <w:lvlText w:val="o"/>
      <w:lvlJc w:val="left"/>
      <w:pPr>
        <w:ind w:left="5760" w:hanging="360"/>
      </w:pPr>
      <w:rPr>
        <w:rFonts w:ascii="Courier New" w:hAnsi="Courier New" w:cs="Courier New" w:hint="default"/>
      </w:rPr>
    </w:lvl>
    <w:lvl w:ilvl="8" w:tplc="6F6271C0">
      <w:start w:val="1"/>
      <w:numFmt w:val="bullet"/>
      <w:lvlText w:val=""/>
      <w:lvlJc w:val="left"/>
      <w:pPr>
        <w:ind w:left="6480" w:hanging="360"/>
      </w:pPr>
      <w:rPr>
        <w:rFonts w:ascii="Wingdings" w:hAnsi="Wingdings" w:hint="default"/>
      </w:rPr>
    </w:lvl>
  </w:abstractNum>
  <w:abstractNum w:abstractNumId="13" w15:restartNumberingAfterBreak="0">
    <w:nsid w:val="66EB0287"/>
    <w:multiLevelType w:val="hybridMultilevel"/>
    <w:tmpl w:val="5B1CB098"/>
    <w:lvl w:ilvl="0" w:tplc="42FC4220">
      <w:start w:val="1"/>
      <w:numFmt w:val="bullet"/>
      <w:lvlText w:val=""/>
      <w:lvlJc w:val="left"/>
      <w:pPr>
        <w:ind w:left="720" w:hanging="360"/>
      </w:pPr>
      <w:rPr>
        <w:rFonts w:ascii="Symbol" w:hAnsi="Symbol" w:hint="default"/>
      </w:rPr>
    </w:lvl>
    <w:lvl w:ilvl="1" w:tplc="435CAD16">
      <w:start w:val="1"/>
      <w:numFmt w:val="bullet"/>
      <w:lvlText w:val="o"/>
      <w:lvlJc w:val="left"/>
      <w:pPr>
        <w:ind w:left="1440" w:hanging="360"/>
      </w:pPr>
      <w:rPr>
        <w:rFonts w:ascii="Courier New" w:hAnsi="Courier New" w:cs="Courier New" w:hint="default"/>
      </w:rPr>
    </w:lvl>
    <w:lvl w:ilvl="2" w:tplc="C5AE5BBA">
      <w:start w:val="1"/>
      <w:numFmt w:val="bullet"/>
      <w:lvlText w:val=""/>
      <w:lvlJc w:val="left"/>
      <w:pPr>
        <w:ind w:left="2160" w:hanging="360"/>
      </w:pPr>
      <w:rPr>
        <w:rFonts w:ascii="Wingdings" w:hAnsi="Wingdings" w:hint="default"/>
      </w:rPr>
    </w:lvl>
    <w:lvl w:ilvl="3" w:tplc="76F29D06">
      <w:start w:val="1"/>
      <w:numFmt w:val="bullet"/>
      <w:lvlText w:val=""/>
      <w:lvlJc w:val="left"/>
      <w:pPr>
        <w:ind w:left="2880" w:hanging="360"/>
      </w:pPr>
      <w:rPr>
        <w:rFonts w:ascii="Symbol" w:hAnsi="Symbol" w:hint="default"/>
      </w:rPr>
    </w:lvl>
    <w:lvl w:ilvl="4" w:tplc="96B8AE12">
      <w:start w:val="1"/>
      <w:numFmt w:val="bullet"/>
      <w:lvlText w:val="o"/>
      <w:lvlJc w:val="left"/>
      <w:pPr>
        <w:ind w:left="3600" w:hanging="360"/>
      </w:pPr>
      <w:rPr>
        <w:rFonts w:ascii="Courier New" w:hAnsi="Courier New" w:cs="Courier New" w:hint="default"/>
      </w:rPr>
    </w:lvl>
    <w:lvl w:ilvl="5" w:tplc="8F1A43D8">
      <w:start w:val="1"/>
      <w:numFmt w:val="bullet"/>
      <w:lvlText w:val=""/>
      <w:lvlJc w:val="left"/>
      <w:pPr>
        <w:ind w:left="4320" w:hanging="360"/>
      </w:pPr>
      <w:rPr>
        <w:rFonts w:ascii="Wingdings" w:hAnsi="Wingdings" w:hint="default"/>
      </w:rPr>
    </w:lvl>
    <w:lvl w:ilvl="6" w:tplc="3EE8A698">
      <w:start w:val="1"/>
      <w:numFmt w:val="bullet"/>
      <w:lvlText w:val=""/>
      <w:lvlJc w:val="left"/>
      <w:pPr>
        <w:ind w:left="5040" w:hanging="360"/>
      </w:pPr>
      <w:rPr>
        <w:rFonts w:ascii="Symbol" w:hAnsi="Symbol" w:hint="default"/>
      </w:rPr>
    </w:lvl>
    <w:lvl w:ilvl="7" w:tplc="7FF67690">
      <w:start w:val="1"/>
      <w:numFmt w:val="bullet"/>
      <w:lvlText w:val="o"/>
      <w:lvlJc w:val="left"/>
      <w:pPr>
        <w:ind w:left="5760" w:hanging="360"/>
      </w:pPr>
      <w:rPr>
        <w:rFonts w:ascii="Courier New" w:hAnsi="Courier New" w:cs="Courier New" w:hint="default"/>
      </w:rPr>
    </w:lvl>
    <w:lvl w:ilvl="8" w:tplc="0B587DC0">
      <w:start w:val="1"/>
      <w:numFmt w:val="bullet"/>
      <w:lvlText w:val=""/>
      <w:lvlJc w:val="left"/>
      <w:pPr>
        <w:ind w:left="6480" w:hanging="360"/>
      </w:pPr>
      <w:rPr>
        <w:rFonts w:ascii="Wingdings" w:hAnsi="Wingdings" w:hint="default"/>
      </w:rPr>
    </w:lvl>
  </w:abstractNum>
  <w:abstractNum w:abstractNumId="14" w15:restartNumberingAfterBreak="0">
    <w:nsid w:val="68461AD2"/>
    <w:multiLevelType w:val="hybridMultilevel"/>
    <w:tmpl w:val="32648136"/>
    <w:lvl w:ilvl="0" w:tplc="5E9859C8">
      <w:start w:val="1"/>
      <w:numFmt w:val="bullet"/>
      <w:lvlText w:val=""/>
      <w:lvlJc w:val="left"/>
      <w:pPr>
        <w:ind w:left="720" w:hanging="360"/>
      </w:pPr>
      <w:rPr>
        <w:rFonts w:ascii="Symbol" w:hAnsi="Symbol" w:hint="default"/>
      </w:rPr>
    </w:lvl>
    <w:lvl w:ilvl="1" w:tplc="B5E833EE">
      <w:start w:val="1"/>
      <w:numFmt w:val="bullet"/>
      <w:lvlText w:val="o"/>
      <w:lvlJc w:val="left"/>
      <w:pPr>
        <w:ind w:left="1440" w:hanging="360"/>
      </w:pPr>
      <w:rPr>
        <w:rFonts w:ascii="Courier New" w:hAnsi="Courier New" w:cs="Courier New" w:hint="default"/>
      </w:rPr>
    </w:lvl>
    <w:lvl w:ilvl="2" w:tplc="83582D6A">
      <w:start w:val="1"/>
      <w:numFmt w:val="bullet"/>
      <w:lvlText w:val=""/>
      <w:lvlJc w:val="left"/>
      <w:pPr>
        <w:ind w:left="2160" w:hanging="360"/>
      </w:pPr>
      <w:rPr>
        <w:rFonts w:ascii="Wingdings" w:hAnsi="Wingdings" w:hint="default"/>
      </w:rPr>
    </w:lvl>
    <w:lvl w:ilvl="3" w:tplc="85A0DD8C">
      <w:start w:val="1"/>
      <w:numFmt w:val="bullet"/>
      <w:lvlText w:val=""/>
      <w:lvlJc w:val="left"/>
      <w:pPr>
        <w:ind w:left="2880" w:hanging="360"/>
      </w:pPr>
      <w:rPr>
        <w:rFonts w:ascii="Symbol" w:hAnsi="Symbol" w:hint="default"/>
      </w:rPr>
    </w:lvl>
    <w:lvl w:ilvl="4" w:tplc="F960A07E">
      <w:start w:val="1"/>
      <w:numFmt w:val="bullet"/>
      <w:lvlText w:val="o"/>
      <w:lvlJc w:val="left"/>
      <w:pPr>
        <w:ind w:left="3600" w:hanging="360"/>
      </w:pPr>
      <w:rPr>
        <w:rFonts w:ascii="Courier New" w:hAnsi="Courier New" w:cs="Courier New" w:hint="default"/>
      </w:rPr>
    </w:lvl>
    <w:lvl w:ilvl="5" w:tplc="7F8C887C">
      <w:start w:val="1"/>
      <w:numFmt w:val="bullet"/>
      <w:lvlText w:val=""/>
      <w:lvlJc w:val="left"/>
      <w:pPr>
        <w:ind w:left="4320" w:hanging="360"/>
      </w:pPr>
      <w:rPr>
        <w:rFonts w:ascii="Wingdings" w:hAnsi="Wingdings" w:hint="default"/>
      </w:rPr>
    </w:lvl>
    <w:lvl w:ilvl="6" w:tplc="6508537A">
      <w:start w:val="1"/>
      <w:numFmt w:val="bullet"/>
      <w:lvlText w:val=""/>
      <w:lvlJc w:val="left"/>
      <w:pPr>
        <w:ind w:left="5040" w:hanging="360"/>
      </w:pPr>
      <w:rPr>
        <w:rFonts w:ascii="Symbol" w:hAnsi="Symbol" w:hint="default"/>
      </w:rPr>
    </w:lvl>
    <w:lvl w:ilvl="7" w:tplc="F90838F2">
      <w:start w:val="1"/>
      <w:numFmt w:val="bullet"/>
      <w:lvlText w:val="o"/>
      <w:lvlJc w:val="left"/>
      <w:pPr>
        <w:ind w:left="5760" w:hanging="360"/>
      </w:pPr>
      <w:rPr>
        <w:rFonts w:ascii="Courier New" w:hAnsi="Courier New" w:cs="Courier New" w:hint="default"/>
      </w:rPr>
    </w:lvl>
    <w:lvl w:ilvl="8" w:tplc="1C1013A6">
      <w:start w:val="1"/>
      <w:numFmt w:val="bullet"/>
      <w:lvlText w:val=""/>
      <w:lvlJc w:val="left"/>
      <w:pPr>
        <w:ind w:left="6480" w:hanging="360"/>
      </w:pPr>
      <w:rPr>
        <w:rFonts w:ascii="Wingdings" w:hAnsi="Wingdings" w:hint="default"/>
      </w:rPr>
    </w:lvl>
  </w:abstractNum>
  <w:abstractNum w:abstractNumId="15" w15:restartNumberingAfterBreak="0">
    <w:nsid w:val="6CEB4E29"/>
    <w:multiLevelType w:val="hybridMultilevel"/>
    <w:tmpl w:val="705A9CE8"/>
    <w:lvl w:ilvl="0" w:tplc="D8E8DDA2">
      <w:start w:val="1"/>
      <w:numFmt w:val="bullet"/>
      <w:lvlText w:val=""/>
      <w:lvlJc w:val="left"/>
      <w:pPr>
        <w:ind w:left="720" w:hanging="360"/>
      </w:pPr>
      <w:rPr>
        <w:rFonts w:ascii="Symbol" w:hAnsi="Symbol" w:hint="default"/>
      </w:rPr>
    </w:lvl>
    <w:lvl w:ilvl="1" w:tplc="21203640">
      <w:start w:val="1"/>
      <w:numFmt w:val="bullet"/>
      <w:lvlText w:val="o"/>
      <w:lvlJc w:val="left"/>
      <w:pPr>
        <w:ind w:left="1440" w:hanging="360"/>
      </w:pPr>
      <w:rPr>
        <w:rFonts w:ascii="Courier New" w:hAnsi="Courier New" w:cs="Courier New" w:hint="default"/>
      </w:rPr>
    </w:lvl>
    <w:lvl w:ilvl="2" w:tplc="919C986C">
      <w:start w:val="1"/>
      <w:numFmt w:val="bullet"/>
      <w:lvlText w:val=""/>
      <w:lvlJc w:val="left"/>
      <w:pPr>
        <w:ind w:left="2160" w:hanging="360"/>
      </w:pPr>
      <w:rPr>
        <w:rFonts w:ascii="Wingdings" w:hAnsi="Wingdings" w:hint="default"/>
      </w:rPr>
    </w:lvl>
    <w:lvl w:ilvl="3" w:tplc="F45E4FD0">
      <w:start w:val="1"/>
      <w:numFmt w:val="bullet"/>
      <w:lvlText w:val=""/>
      <w:lvlJc w:val="left"/>
      <w:pPr>
        <w:ind w:left="2880" w:hanging="360"/>
      </w:pPr>
      <w:rPr>
        <w:rFonts w:ascii="Symbol" w:hAnsi="Symbol" w:hint="default"/>
      </w:rPr>
    </w:lvl>
    <w:lvl w:ilvl="4" w:tplc="7494B46A">
      <w:start w:val="1"/>
      <w:numFmt w:val="bullet"/>
      <w:lvlText w:val="o"/>
      <w:lvlJc w:val="left"/>
      <w:pPr>
        <w:ind w:left="3600" w:hanging="360"/>
      </w:pPr>
      <w:rPr>
        <w:rFonts w:ascii="Courier New" w:hAnsi="Courier New" w:cs="Courier New" w:hint="default"/>
      </w:rPr>
    </w:lvl>
    <w:lvl w:ilvl="5" w:tplc="F4C0325E">
      <w:start w:val="1"/>
      <w:numFmt w:val="bullet"/>
      <w:lvlText w:val=""/>
      <w:lvlJc w:val="left"/>
      <w:pPr>
        <w:ind w:left="4320" w:hanging="360"/>
      </w:pPr>
      <w:rPr>
        <w:rFonts w:ascii="Wingdings" w:hAnsi="Wingdings" w:hint="default"/>
      </w:rPr>
    </w:lvl>
    <w:lvl w:ilvl="6" w:tplc="ACC8199C">
      <w:start w:val="1"/>
      <w:numFmt w:val="bullet"/>
      <w:lvlText w:val=""/>
      <w:lvlJc w:val="left"/>
      <w:pPr>
        <w:ind w:left="5040" w:hanging="360"/>
      </w:pPr>
      <w:rPr>
        <w:rFonts w:ascii="Symbol" w:hAnsi="Symbol" w:hint="default"/>
      </w:rPr>
    </w:lvl>
    <w:lvl w:ilvl="7" w:tplc="B8F401FE">
      <w:start w:val="1"/>
      <w:numFmt w:val="bullet"/>
      <w:lvlText w:val="o"/>
      <w:lvlJc w:val="left"/>
      <w:pPr>
        <w:ind w:left="5760" w:hanging="360"/>
      </w:pPr>
      <w:rPr>
        <w:rFonts w:ascii="Courier New" w:hAnsi="Courier New" w:cs="Courier New" w:hint="default"/>
      </w:rPr>
    </w:lvl>
    <w:lvl w:ilvl="8" w:tplc="E6943954">
      <w:start w:val="1"/>
      <w:numFmt w:val="bullet"/>
      <w:lvlText w:val=""/>
      <w:lvlJc w:val="left"/>
      <w:pPr>
        <w:ind w:left="6480" w:hanging="360"/>
      </w:pPr>
      <w:rPr>
        <w:rFonts w:ascii="Wingdings" w:hAnsi="Wingdings" w:hint="default"/>
      </w:rPr>
    </w:lvl>
  </w:abstractNum>
  <w:abstractNum w:abstractNumId="16" w15:restartNumberingAfterBreak="0">
    <w:nsid w:val="79B73940"/>
    <w:multiLevelType w:val="hybridMultilevel"/>
    <w:tmpl w:val="1C068B66"/>
    <w:styleLink w:val="Listepuces1"/>
    <w:lvl w:ilvl="0" w:tplc="706AF9D6">
      <w:start w:val="1"/>
      <w:numFmt w:val="bullet"/>
      <w:pStyle w:val="Listepuces1"/>
      <w:lvlText w:val=""/>
      <w:lvlJc w:val="left"/>
      <w:pPr>
        <w:ind w:left="245" w:hanging="245"/>
      </w:pPr>
      <w:rPr>
        <w:rFonts w:ascii="Wingdings 2" w:hAnsi="Wingdings 2"/>
        <w:color w:val="0F6FC6" w:themeColor="accent1"/>
        <w:sz w:val="16"/>
      </w:rPr>
    </w:lvl>
    <w:lvl w:ilvl="1" w:tplc="35962D10">
      <w:start w:val="1"/>
      <w:numFmt w:val="bullet"/>
      <w:lvlText w:val=""/>
      <w:lvlJc w:val="left"/>
      <w:pPr>
        <w:ind w:left="490" w:hanging="245"/>
      </w:pPr>
      <w:rPr>
        <w:rFonts w:ascii="Symbol" w:hAnsi="Symbol" w:hint="default"/>
        <w:color w:val="0F6FC6" w:themeColor="accent1"/>
        <w:sz w:val="18"/>
      </w:rPr>
    </w:lvl>
    <w:lvl w:ilvl="2" w:tplc="1CA2CAEE">
      <w:start w:val="1"/>
      <w:numFmt w:val="bullet"/>
      <w:lvlText w:val=""/>
      <w:lvlJc w:val="left"/>
      <w:pPr>
        <w:ind w:left="735" w:hanging="245"/>
      </w:pPr>
      <w:rPr>
        <w:rFonts w:ascii="Symbol" w:hAnsi="Symbol" w:hint="default"/>
        <w:color w:val="0F6FC6" w:themeColor="accent1"/>
        <w:sz w:val="18"/>
      </w:rPr>
    </w:lvl>
    <w:lvl w:ilvl="3" w:tplc="B6A69FA2">
      <w:start w:val="1"/>
      <w:numFmt w:val="bullet"/>
      <w:lvlText w:val=""/>
      <w:lvlJc w:val="left"/>
      <w:pPr>
        <w:ind w:left="980" w:hanging="245"/>
      </w:pPr>
      <w:rPr>
        <w:rFonts w:ascii="Symbol" w:hAnsi="Symbol" w:hint="default"/>
        <w:color w:val="0B5294" w:themeColor="accent1" w:themeShade="BF"/>
        <w:sz w:val="12"/>
      </w:rPr>
    </w:lvl>
    <w:lvl w:ilvl="4" w:tplc="8D882382">
      <w:start w:val="1"/>
      <w:numFmt w:val="bullet"/>
      <w:lvlText w:val=""/>
      <w:lvlJc w:val="left"/>
      <w:pPr>
        <w:ind w:left="1225" w:hanging="245"/>
      </w:pPr>
      <w:rPr>
        <w:rFonts w:ascii="Symbol" w:hAnsi="Symbol" w:hint="default"/>
        <w:color w:val="0B5294" w:themeColor="accent1" w:themeShade="BF"/>
        <w:sz w:val="12"/>
      </w:rPr>
    </w:lvl>
    <w:lvl w:ilvl="5" w:tplc="A0E0637C">
      <w:start w:val="1"/>
      <w:numFmt w:val="bullet"/>
      <w:lvlText w:val=""/>
      <w:lvlJc w:val="left"/>
      <w:pPr>
        <w:ind w:left="1470" w:hanging="245"/>
      </w:pPr>
      <w:rPr>
        <w:rFonts w:ascii="Symbol" w:hAnsi="Symbol" w:hint="default"/>
        <w:color w:val="A5C249" w:themeColor="accent6"/>
        <w:sz w:val="12"/>
      </w:rPr>
    </w:lvl>
    <w:lvl w:ilvl="6" w:tplc="0A9419CC">
      <w:start w:val="1"/>
      <w:numFmt w:val="bullet"/>
      <w:lvlText w:val=""/>
      <w:lvlJc w:val="left"/>
      <w:pPr>
        <w:ind w:left="1715" w:hanging="245"/>
      </w:pPr>
      <w:rPr>
        <w:rFonts w:ascii="Symbol" w:hAnsi="Symbol" w:hint="default"/>
        <w:color w:val="A5C249" w:themeColor="accent6"/>
        <w:sz w:val="12"/>
      </w:rPr>
    </w:lvl>
    <w:lvl w:ilvl="7" w:tplc="3098919C">
      <w:start w:val="1"/>
      <w:numFmt w:val="bullet"/>
      <w:lvlText w:val=""/>
      <w:lvlJc w:val="left"/>
      <w:pPr>
        <w:ind w:left="1960" w:hanging="245"/>
      </w:pPr>
      <w:rPr>
        <w:rFonts w:ascii="Symbol" w:hAnsi="Symbol" w:hint="default"/>
        <w:color w:val="A5C249" w:themeColor="accent6"/>
        <w:sz w:val="12"/>
      </w:rPr>
    </w:lvl>
    <w:lvl w:ilvl="8" w:tplc="739A4D8C">
      <w:start w:val="1"/>
      <w:numFmt w:val="bullet"/>
      <w:lvlText w:val=""/>
      <w:lvlJc w:val="left"/>
      <w:pPr>
        <w:ind w:left="2205" w:hanging="245"/>
      </w:pPr>
      <w:rPr>
        <w:rFonts w:ascii="Symbol" w:hAnsi="Symbol" w:hint="default"/>
        <w:color w:val="A5C249" w:themeColor="accent6"/>
        <w:sz w:val="12"/>
      </w:rPr>
    </w:lvl>
  </w:abstractNum>
  <w:abstractNum w:abstractNumId="17" w15:restartNumberingAfterBreak="0">
    <w:nsid w:val="7A3E5F3E"/>
    <w:multiLevelType w:val="hybridMultilevel"/>
    <w:tmpl w:val="2D1CE2C4"/>
    <w:lvl w:ilvl="0" w:tplc="040C000F">
      <w:start w:val="1"/>
      <w:numFmt w:val="decimal"/>
      <w:lvlText w:val="%1."/>
      <w:lvlJc w:val="left"/>
      <w:pPr>
        <w:ind w:left="720" w:hanging="360"/>
      </w:pPr>
      <w:rPr>
        <w:rFonts w:hint="default"/>
      </w:rPr>
    </w:lvl>
    <w:lvl w:ilvl="1" w:tplc="DFBCCA52">
      <w:start w:val="1"/>
      <w:numFmt w:val="bullet"/>
      <w:lvlText w:val="o"/>
      <w:lvlJc w:val="left"/>
      <w:pPr>
        <w:ind w:left="1440" w:hanging="360"/>
      </w:pPr>
      <w:rPr>
        <w:rFonts w:ascii="Courier New" w:hAnsi="Courier New" w:cs="Courier New" w:hint="default"/>
      </w:rPr>
    </w:lvl>
    <w:lvl w:ilvl="2" w:tplc="542EBC50">
      <w:start w:val="1"/>
      <w:numFmt w:val="bullet"/>
      <w:lvlText w:val=""/>
      <w:lvlJc w:val="left"/>
      <w:pPr>
        <w:ind w:left="2160" w:hanging="360"/>
      </w:pPr>
      <w:rPr>
        <w:rFonts w:ascii="Wingdings" w:hAnsi="Wingdings" w:hint="default"/>
      </w:rPr>
    </w:lvl>
    <w:lvl w:ilvl="3" w:tplc="FAF4FFE6">
      <w:start w:val="1"/>
      <w:numFmt w:val="bullet"/>
      <w:lvlText w:val=""/>
      <w:lvlJc w:val="left"/>
      <w:pPr>
        <w:ind w:left="2880" w:hanging="360"/>
      </w:pPr>
      <w:rPr>
        <w:rFonts w:ascii="Symbol" w:hAnsi="Symbol" w:hint="default"/>
      </w:rPr>
    </w:lvl>
    <w:lvl w:ilvl="4" w:tplc="E224FC06">
      <w:start w:val="1"/>
      <w:numFmt w:val="bullet"/>
      <w:lvlText w:val="o"/>
      <w:lvlJc w:val="left"/>
      <w:pPr>
        <w:ind w:left="3600" w:hanging="360"/>
      </w:pPr>
      <w:rPr>
        <w:rFonts w:ascii="Courier New" w:hAnsi="Courier New" w:cs="Courier New" w:hint="default"/>
      </w:rPr>
    </w:lvl>
    <w:lvl w:ilvl="5" w:tplc="F7A644A4">
      <w:start w:val="1"/>
      <w:numFmt w:val="bullet"/>
      <w:lvlText w:val=""/>
      <w:lvlJc w:val="left"/>
      <w:pPr>
        <w:ind w:left="4320" w:hanging="360"/>
      </w:pPr>
      <w:rPr>
        <w:rFonts w:ascii="Wingdings" w:hAnsi="Wingdings" w:hint="default"/>
      </w:rPr>
    </w:lvl>
    <w:lvl w:ilvl="6" w:tplc="D4B4916E">
      <w:start w:val="1"/>
      <w:numFmt w:val="bullet"/>
      <w:lvlText w:val=""/>
      <w:lvlJc w:val="left"/>
      <w:pPr>
        <w:ind w:left="5040" w:hanging="360"/>
      </w:pPr>
      <w:rPr>
        <w:rFonts w:ascii="Symbol" w:hAnsi="Symbol" w:hint="default"/>
      </w:rPr>
    </w:lvl>
    <w:lvl w:ilvl="7" w:tplc="B658EFFA">
      <w:start w:val="1"/>
      <w:numFmt w:val="bullet"/>
      <w:lvlText w:val="o"/>
      <w:lvlJc w:val="left"/>
      <w:pPr>
        <w:ind w:left="5760" w:hanging="360"/>
      </w:pPr>
      <w:rPr>
        <w:rFonts w:ascii="Courier New" w:hAnsi="Courier New" w:cs="Courier New" w:hint="default"/>
      </w:rPr>
    </w:lvl>
    <w:lvl w:ilvl="8" w:tplc="FBDE09D2">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16"/>
  </w:num>
  <w:num w:numId="4">
    <w:abstractNumId w:val="7"/>
  </w:num>
  <w:num w:numId="5">
    <w:abstractNumId w:val="16"/>
  </w:num>
  <w:num w:numId="6">
    <w:abstractNumId w:val="7"/>
  </w:num>
  <w:num w:numId="7">
    <w:abstractNumId w:val="3"/>
  </w:num>
  <w:num w:numId="8">
    <w:abstractNumId w:val="9"/>
  </w:num>
  <w:num w:numId="9">
    <w:abstractNumId w:val="13"/>
  </w:num>
  <w:num w:numId="10">
    <w:abstractNumId w:val="10"/>
  </w:num>
  <w:num w:numId="11">
    <w:abstractNumId w:val="12"/>
  </w:num>
  <w:num w:numId="12">
    <w:abstractNumId w:val="5"/>
  </w:num>
  <w:num w:numId="13">
    <w:abstractNumId w:val="1"/>
  </w:num>
  <w:num w:numId="14">
    <w:abstractNumId w:val="8"/>
  </w:num>
  <w:num w:numId="15">
    <w:abstractNumId w:val="0"/>
  </w:num>
  <w:num w:numId="16">
    <w:abstractNumId w:val="14"/>
  </w:num>
  <w:num w:numId="17">
    <w:abstractNumId w:val="15"/>
  </w:num>
  <w:num w:numId="18">
    <w:abstractNumId w:val="6"/>
  </w:num>
  <w:num w:numId="19">
    <w:abstractNumId w:val="2"/>
  </w:num>
  <w:num w:numId="20">
    <w:abstractNumId w:val="11"/>
  </w:num>
  <w:num w:numId="21">
    <w:abstractNumId w:val="4"/>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9A8"/>
    <w:rsid w:val="0000009C"/>
    <w:rsid w:val="00006039"/>
    <w:rsid w:val="00014D5C"/>
    <w:rsid w:val="000173E1"/>
    <w:rsid w:val="00044BED"/>
    <w:rsid w:val="00051144"/>
    <w:rsid w:val="0005602D"/>
    <w:rsid w:val="0005699A"/>
    <w:rsid w:val="00057735"/>
    <w:rsid w:val="00065171"/>
    <w:rsid w:val="000657AE"/>
    <w:rsid w:val="000846D0"/>
    <w:rsid w:val="000A0D34"/>
    <w:rsid w:val="000B47CF"/>
    <w:rsid w:val="000C3F7A"/>
    <w:rsid w:val="000C55E2"/>
    <w:rsid w:val="000E6F29"/>
    <w:rsid w:val="000F2270"/>
    <w:rsid w:val="001060C5"/>
    <w:rsid w:val="0011270C"/>
    <w:rsid w:val="00124AE2"/>
    <w:rsid w:val="00135220"/>
    <w:rsid w:val="00136D3D"/>
    <w:rsid w:val="001404E2"/>
    <w:rsid w:val="00145A7D"/>
    <w:rsid w:val="00154F8A"/>
    <w:rsid w:val="001562A6"/>
    <w:rsid w:val="00164F04"/>
    <w:rsid w:val="00172C72"/>
    <w:rsid w:val="00184366"/>
    <w:rsid w:val="0019769A"/>
    <w:rsid w:val="001A4503"/>
    <w:rsid w:val="001A658F"/>
    <w:rsid w:val="001B79DB"/>
    <w:rsid w:val="001C4CE5"/>
    <w:rsid w:val="001C5616"/>
    <w:rsid w:val="001D1097"/>
    <w:rsid w:val="001E67BF"/>
    <w:rsid w:val="00201580"/>
    <w:rsid w:val="00203A7A"/>
    <w:rsid w:val="002041D1"/>
    <w:rsid w:val="00205182"/>
    <w:rsid w:val="00211B01"/>
    <w:rsid w:val="00241217"/>
    <w:rsid w:val="00242B37"/>
    <w:rsid w:val="002439D3"/>
    <w:rsid w:val="00244499"/>
    <w:rsid w:val="00246D3D"/>
    <w:rsid w:val="002562C8"/>
    <w:rsid w:val="00271170"/>
    <w:rsid w:val="00272339"/>
    <w:rsid w:val="00277EAB"/>
    <w:rsid w:val="002A4617"/>
    <w:rsid w:val="002C58ED"/>
    <w:rsid w:val="002C7C86"/>
    <w:rsid w:val="002D0E3A"/>
    <w:rsid w:val="002D4FA3"/>
    <w:rsid w:val="002D5822"/>
    <w:rsid w:val="002F441F"/>
    <w:rsid w:val="00306B7A"/>
    <w:rsid w:val="003126BA"/>
    <w:rsid w:val="00326B80"/>
    <w:rsid w:val="00332F7E"/>
    <w:rsid w:val="00344448"/>
    <w:rsid w:val="0036771F"/>
    <w:rsid w:val="003679C3"/>
    <w:rsid w:val="003719C9"/>
    <w:rsid w:val="0037228B"/>
    <w:rsid w:val="003749D3"/>
    <w:rsid w:val="0038310E"/>
    <w:rsid w:val="00383EC0"/>
    <w:rsid w:val="003841A6"/>
    <w:rsid w:val="00390FA2"/>
    <w:rsid w:val="003A5CED"/>
    <w:rsid w:val="003B7A6F"/>
    <w:rsid w:val="003C6E47"/>
    <w:rsid w:val="003E5BFC"/>
    <w:rsid w:val="003E6606"/>
    <w:rsid w:val="003F0758"/>
    <w:rsid w:val="003F292B"/>
    <w:rsid w:val="003F7072"/>
    <w:rsid w:val="003F77AD"/>
    <w:rsid w:val="00401703"/>
    <w:rsid w:val="004027ED"/>
    <w:rsid w:val="004124E8"/>
    <w:rsid w:val="00420F8F"/>
    <w:rsid w:val="00421304"/>
    <w:rsid w:val="00421A62"/>
    <w:rsid w:val="00421A90"/>
    <w:rsid w:val="00432E48"/>
    <w:rsid w:val="00435721"/>
    <w:rsid w:val="00435841"/>
    <w:rsid w:val="004479A8"/>
    <w:rsid w:val="00454AC3"/>
    <w:rsid w:val="004619B0"/>
    <w:rsid w:val="00471336"/>
    <w:rsid w:val="00472EE4"/>
    <w:rsid w:val="004754CE"/>
    <w:rsid w:val="00494E72"/>
    <w:rsid w:val="00496ED9"/>
    <w:rsid w:val="004A3231"/>
    <w:rsid w:val="004A3F45"/>
    <w:rsid w:val="004A53B6"/>
    <w:rsid w:val="004A56FE"/>
    <w:rsid w:val="004B5E17"/>
    <w:rsid w:val="004C0494"/>
    <w:rsid w:val="004C2B65"/>
    <w:rsid w:val="004C55C1"/>
    <w:rsid w:val="004C7D9E"/>
    <w:rsid w:val="004D6637"/>
    <w:rsid w:val="004E0B31"/>
    <w:rsid w:val="004E57A8"/>
    <w:rsid w:val="004F0423"/>
    <w:rsid w:val="004F5807"/>
    <w:rsid w:val="004F7B09"/>
    <w:rsid w:val="00502570"/>
    <w:rsid w:val="00503C57"/>
    <w:rsid w:val="00505ACE"/>
    <w:rsid w:val="00523F6E"/>
    <w:rsid w:val="005252EF"/>
    <w:rsid w:val="00527E91"/>
    <w:rsid w:val="0053257B"/>
    <w:rsid w:val="0053498C"/>
    <w:rsid w:val="005402FF"/>
    <w:rsid w:val="0055770D"/>
    <w:rsid w:val="00557840"/>
    <w:rsid w:val="00566695"/>
    <w:rsid w:val="005756B1"/>
    <w:rsid w:val="00576696"/>
    <w:rsid w:val="0058454A"/>
    <w:rsid w:val="005B23A8"/>
    <w:rsid w:val="005B7A0C"/>
    <w:rsid w:val="005C3B69"/>
    <w:rsid w:val="005C3CB2"/>
    <w:rsid w:val="005C6513"/>
    <w:rsid w:val="006066DB"/>
    <w:rsid w:val="00616D93"/>
    <w:rsid w:val="00632E68"/>
    <w:rsid w:val="00635121"/>
    <w:rsid w:val="0064046D"/>
    <w:rsid w:val="006415BA"/>
    <w:rsid w:val="00642555"/>
    <w:rsid w:val="006478A4"/>
    <w:rsid w:val="006555F3"/>
    <w:rsid w:val="006727FE"/>
    <w:rsid w:val="006750DD"/>
    <w:rsid w:val="00681D8A"/>
    <w:rsid w:val="00684472"/>
    <w:rsid w:val="00693021"/>
    <w:rsid w:val="00693892"/>
    <w:rsid w:val="00693EC1"/>
    <w:rsid w:val="006A2835"/>
    <w:rsid w:val="006B3D8E"/>
    <w:rsid w:val="006C736E"/>
    <w:rsid w:val="006D3211"/>
    <w:rsid w:val="006D6FE1"/>
    <w:rsid w:val="006D75BF"/>
    <w:rsid w:val="006E01FA"/>
    <w:rsid w:val="006E0FF5"/>
    <w:rsid w:val="006E1D56"/>
    <w:rsid w:val="006E61F2"/>
    <w:rsid w:val="00711AD7"/>
    <w:rsid w:val="00715760"/>
    <w:rsid w:val="00724666"/>
    <w:rsid w:val="007246B7"/>
    <w:rsid w:val="007258A8"/>
    <w:rsid w:val="00735159"/>
    <w:rsid w:val="007500AA"/>
    <w:rsid w:val="00766B85"/>
    <w:rsid w:val="007736FE"/>
    <w:rsid w:val="00777E1F"/>
    <w:rsid w:val="00792185"/>
    <w:rsid w:val="00795E57"/>
    <w:rsid w:val="0079660A"/>
    <w:rsid w:val="007A29F7"/>
    <w:rsid w:val="007A64C9"/>
    <w:rsid w:val="007C01A5"/>
    <w:rsid w:val="007C3DD2"/>
    <w:rsid w:val="007D2E64"/>
    <w:rsid w:val="007E684D"/>
    <w:rsid w:val="007E6994"/>
    <w:rsid w:val="007F2EA9"/>
    <w:rsid w:val="007F452A"/>
    <w:rsid w:val="007F7FB3"/>
    <w:rsid w:val="008006E6"/>
    <w:rsid w:val="00801D13"/>
    <w:rsid w:val="00806488"/>
    <w:rsid w:val="0081614F"/>
    <w:rsid w:val="008252BA"/>
    <w:rsid w:val="00835D97"/>
    <w:rsid w:val="008522DA"/>
    <w:rsid w:val="00856959"/>
    <w:rsid w:val="0086788A"/>
    <w:rsid w:val="008704D7"/>
    <w:rsid w:val="00876871"/>
    <w:rsid w:val="008A0E30"/>
    <w:rsid w:val="008A5B71"/>
    <w:rsid w:val="008A60BB"/>
    <w:rsid w:val="008A6621"/>
    <w:rsid w:val="008C0816"/>
    <w:rsid w:val="008C2BEA"/>
    <w:rsid w:val="008C2ED9"/>
    <w:rsid w:val="008C3046"/>
    <w:rsid w:val="008D0A2F"/>
    <w:rsid w:val="008D1278"/>
    <w:rsid w:val="008D474A"/>
    <w:rsid w:val="008E661B"/>
    <w:rsid w:val="008F5DD4"/>
    <w:rsid w:val="008F6FDE"/>
    <w:rsid w:val="008F7268"/>
    <w:rsid w:val="00902B84"/>
    <w:rsid w:val="00906E3F"/>
    <w:rsid w:val="0091204B"/>
    <w:rsid w:val="009171E0"/>
    <w:rsid w:val="0092503C"/>
    <w:rsid w:val="0092583E"/>
    <w:rsid w:val="00936FE6"/>
    <w:rsid w:val="009541D5"/>
    <w:rsid w:val="00957963"/>
    <w:rsid w:val="009743D8"/>
    <w:rsid w:val="00977440"/>
    <w:rsid w:val="00983D5F"/>
    <w:rsid w:val="009879DB"/>
    <w:rsid w:val="009921A9"/>
    <w:rsid w:val="009A26B4"/>
    <w:rsid w:val="009B1B72"/>
    <w:rsid w:val="009B4BD4"/>
    <w:rsid w:val="009B59F5"/>
    <w:rsid w:val="009C22CB"/>
    <w:rsid w:val="009C7640"/>
    <w:rsid w:val="009D2A09"/>
    <w:rsid w:val="009D4C22"/>
    <w:rsid w:val="009D776B"/>
    <w:rsid w:val="009E362E"/>
    <w:rsid w:val="009E5178"/>
    <w:rsid w:val="009F5A3B"/>
    <w:rsid w:val="00A053DE"/>
    <w:rsid w:val="00A14CC6"/>
    <w:rsid w:val="00A4077D"/>
    <w:rsid w:val="00A51AB0"/>
    <w:rsid w:val="00A55D62"/>
    <w:rsid w:val="00A646D8"/>
    <w:rsid w:val="00A65B7F"/>
    <w:rsid w:val="00A7482F"/>
    <w:rsid w:val="00A8388A"/>
    <w:rsid w:val="00A84744"/>
    <w:rsid w:val="00A964E8"/>
    <w:rsid w:val="00AB1B39"/>
    <w:rsid w:val="00AB57D2"/>
    <w:rsid w:val="00AF68D8"/>
    <w:rsid w:val="00AF77B3"/>
    <w:rsid w:val="00B026C1"/>
    <w:rsid w:val="00B13058"/>
    <w:rsid w:val="00B136AE"/>
    <w:rsid w:val="00B21066"/>
    <w:rsid w:val="00B21C77"/>
    <w:rsid w:val="00B274DE"/>
    <w:rsid w:val="00B30EE6"/>
    <w:rsid w:val="00B3394D"/>
    <w:rsid w:val="00B340E4"/>
    <w:rsid w:val="00B35128"/>
    <w:rsid w:val="00B370E8"/>
    <w:rsid w:val="00B64870"/>
    <w:rsid w:val="00B722D5"/>
    <w:rsid w:val="00B80A0F"/>
    <w:rsid w:val="00B82B1C"/>
    <w:rsid w:val="00B85937"/>
    <w:rsid w:val="00B940CB"/>
    <w:rsid w:val="00BA1F57"/>
    <w:rsid w:val="00BA4C80"/>
    <w:rsid w:val="00BA629C"/>
    <w:rsid w:val="00BB074F"/>
    <w:rsid w:val="00BB416F"/>
    <w:rsid w:val="00BD002C"/>
    <w:rsid w:val="00BD30C5"/>
    <w:rsid w:val="00BD5313"/>
    <w:rsid w:val="00BE065E"/>
    <w:rsid w:val="00BE4D37"/>
    <w:rsid w:val="00BE4DCE"/>
    <w:rsid w:val="00BF3831"/>
    <w:rsid w:val="00BF621E"/>
    <w:rsid w:val="00C07335"/>
    <w:rsid w:val="00C10DBB"/>
    <w:rsid w:val="00C42139"/>
    <w:rsid w:val="00C43203"/>
    <w:rsid w:val="00C6299A"/>
    <w:rsid w:val="00C71694"/>
    <w:rsid w:val="00C7700B"/>
    <w:rsid w:val="00C811AA"/>
    <w:rsid w:val="00C8312F"/>
    <w:rsid w:val="00C962C5"/>
    <w:rsid w:val="00C97F85"/>
    <w:rsid w:val="00CA1748"/>
    <w:rsid w:val="00CA3672"/>
    <w:rsid w:val="00CB6F0C"/>
    <w:rsid w:val="00CD5734"/>
    <w:rsid w:val="00CD5A7F"/>
    <w:rsid w:val="00CD65EC"/>
    <w:rsid w:val="00CE410B"/>
    <w:rsid w:val="00CF0D4F"/>
    <w:rsid w:val="00D24A96"/>
    <w:rsid w:val="00D40D1E"/>
    <w:rsid w:val="00D431D6"/>
    <w:rsid w:val="00D46A20"/>
    <w:rsid w:val="00D538BD"/>
    <w:rsid w:val="00D53D74"/>
    <w:rsid w:val="00D756AC"/>
    <w:rsid w:val="00D76957"/>
    <w:rsid w:val="00DA3443"/>
    <w:rsid w:val="00DC4952"/>
    <w:rsid w:val="00DC7F5A"/>
    <w:rsid w:val="00E11A1F"/>
    <w:rsid w:val="00E228B4"/>
    <w:rsid w:val="00E2653A"/>
    <w:rsid w:val="00E268E5"/>
    <w:rsid w:val="00E3072C"/>
    <w:rsid w:val="00E32DD1"/>
    <w:rsid w:val="00E37317"/>
    <w:rsid w:val="00E40E36"/>
    <w:rsid w:val="00E504B7"/>
    <w:rsid w:val="00E50A41"/>
    <w:rsid w:val="00E55FBD"/>
    <w:rsid w:val="00E602D9"/>
    <w:rsid w:val="00E621FF"/>
    <w:rsid w:val="00E70CEA"/>
    <w:rsid w:val="00E71FC2"/>
    <w:rsid w:val="00E82594"/>
    <w:rsid w:val="00E84BBD"/>
    <w:rsid w:val="00E85D6E"/>
    <w:rsid w:val="00E92FA7"/>
    <w:rsid w:val="00EA134A"/>
    <w:rsid w:val="00EC0A00"/>
    <w:rsid w:val="00EC7435"/>
    <w:rsid w:val="00EF4473"/>
    <w:rsid w:val="00EF4788"/>
    <w:rsid w:val="00F0511B"/>
    <w:rsid w:val="00F0585F"/>
    <w:rsid w:val="00F06FE2"/>
    <w:rsid w:val="00F1235A"/>
    <w:rsid w:val="00F1294E"/>
    <w:rsid w:val="00F3688E"/>
    <w:rsid w:val="00F37937"/>
    <w:rsid w:val="00F4222F"/>
    <w:rsid w:val="00F559B1"/>
    <w:rsid w:val="00F65544"/>
    <w:rsid w:val="00F77DC9"/>
    <w:rsid w:val="00F87E6F"/>
    <w:rsid w:val="00F905D4"/>
    <w:rsid w:val="00F9091F"/>
    <w:rsid w:val="00FA4811"/>
    <w:rsid w:val="00FA7D1F"/>
    <w:rsid w:val="00FB4E77"/>
    <w:rsid w:val="00FC0D73"/>
    <w:rsid w:val="00FD0E95"/>
    <w:rsid w:val="00FD174D"/>
    <w:rsid w:val="00FE3702"/>
  </w:rsids>
  <m:mathPr>
    <m:mathFont m:val="Cambria Math"/>
    <m:brkBin m:val="before"/>
    <m:brkBinSub m:val="--"/>
    <m:smallFrac/>
    <m:dispDef/>
    <m:lMargin m:val="0"/>
    <m:rMargin m:val="0"/>
    <m:defJc m:val="centerGroup"/>
    <m:wrapIndent m:val="1440"/>
    <m:intLim m:val="undOvr"/>
    <m:naryLim m:val="subSup"/>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8D57C3"/>
  <w15:docId w15:val="{B173A3BE-1009-43CD-9075-01783BD38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Schoolbook" w:eastAsia="Century Schoolbook" w:hAnsi="Century Schoolbook" w:cs="Century Schoolbook"/>
        <w:sz w:val="22"/>
        <w:szCs w:val="22"/>
        <w:lang w:val="fr-FR" w:eastAsia="fr-FR"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E6"/>
    <w:rPr>
      <w:color w:val="112F51" w:themeColor="text2" w:themeShade="BF"/>
      <w:sz w:val="20"/>
      <w:szCs w:val="20"/>
    </w:rPr>
  </w:style>
  <w:style w:type="paragraph" w:styleId="Titre1">
    <w:name w:val="heading 1"/>
    <w:basedOn w:val="Normal"/>
    <w:uiPriority w:val="9"/>
    <w:qFormat/>
    <w:rsid w:val="0080648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outlineLvl w:val="0"/>
    </w:pPr>
    <w:rPr>
      <w:rFonts w:ascii="Times" w:hAnsi="Times"/>
      <w:b/>
      <w:bCs/>
      <w:color w:val="auto"/>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sid w:val="00B30EE6"/>
    <w:rPr>
      <w:rFonts w:ascii="Arial" w:eastAsia="Arial" w:hAnsi="Arial" w:cs="Arial"/>
      <w:sz w:val="40"/>
      <w:szCs w:val="40"/>
    </w:rPr>
  </w:style>
  <w:style w:type="character" w:customStyle="1" w:styleId="Heading2Char">
    <w:name w:val="Heading 2 Char"/>
    <w:basedOn w:val="Policepardfaut"/>
    <w:uiPriority w:val="9"/>
    <w:rsid w:val="00B30EE6"/>
    <w:rPr>
      <w:rFonts w:ascii="Arial" w:eastAsia="Arial" w:hAnsi="Arial" w:cs="Arial"/>
      <w:sz w:val="34"/>
    </w:rPr>
  </w:style>
  <w:style w:type="character" w:customStyle="1" w:styleId="Heading3Char">
    <w:name w:val="Heading 3 Char"/>
    <w:basedOn w:val="Policepardfaut"/>
    <w:uiPriority w:val="9"/>
    <w:rsid w:val="00B30EE6"/>
    <w:rPr>
      <w:rFonts w:ascii="Arial" w:eastAsia="Arial" w:hAnsi="Arial" w:cs="Arial"/>
      <w:sz w:val="30"/>
      <w:szCs w:val="30"/>
    </w:rPr>
  </w:style>
  <w:style w:type="character" w:customStyle="1" w:styleId="Heading4Char">
    <w:name w:val="Heading 4 Char"/>
    <w:basedOn w:val="Policepardfaut"/>
    <w:uiPriority w:val="9"/>
    <w:rsid w:val="00B30EE6"/>
    <w:rPr>
      <w:rFonts w:ascii="Arial" w:eastAsia="Arial" w:hAnsi="Arial" w:cs="Arial"/>
      <w:b/>
      <w:bCs/>
      <w:sz w:val="26"/>
      <w:szCs w:val="26"/>
    </w:rPr>
  </w:style>
  <w:style w:type="character" w:customStyle="1" w:styleId="Heading5Char">
    <w:name w:val="Heading 5 Char"/>
    <w:basedOn w:val="Policepardfaut"/>
    <w:uiPriority w:val="9"/>
    <w:rsid w:val="00B30EE6"/>
    <w:rPr>
      <w:rFonts w:ascii="Arial" w:eastAsia="Arial" w:hAnsi="Arial" w:cs="Arial"/>
      <w:b/>
      <w:bCs/>
      <w:sz w:val="24"/>
      <w:szCs w:val="24"/>
    </w:rPr>
  </w:style>
  <w:style w:type="character" w:customStyle="1" w:styleId="Heading6Char">
    <w:name w:val="Heading 6 Char"/>
    <w:basedOn w:val="Policepardfaut"/>
    <w:uiPriority w:val="9"/>
    <w:rsid w:val="00B30EE6"/>
    <w:rPr>
      <w:rFonts w:ascii="Arial" w:eastAsia="Arial" w:hAnsi="Arial" w:cs="Arial"/>
      <w:b/>
      <w:bCs/>
      <w:sz w:val="22"/>
      <w:szCs w:val="22"/>
    </w:rPr>
  </w:style>
  <w:style w:type="character" w:customStyle="1" w:styleId="Heading7Char">
    <w:name w:val="Heading 7 Char"/>
    <w:basedOn w:val="Policepardfaut"/>
    <w:uiPriority w:val="9"/>
    <w:rsid w:val="00B30EE6"/>
    <w:rPr>
      <w:rFonts w:ascii="Arial" w:eastAsia="Arial" w:hAnsi="Arial" w:cs="Arial"/>
      <w:b/>
      <w:bCs/>
      <w:i/>
      <w:iCs/>
      <w:sz w:val="22"/>
      <w:szCs w:val="22"/>
    </w:rPr>
  </w:style>
  <w:style w:type="character" w:customStyle="1" w:styleId="Heading8Char">
    <w:name w:val="Heading 8 Char"/>
    <w:basedOn w:val="Policepardfaut"/>
    <w:uiPriority w:val="9"/>
    <w:rsid w:val="00B30EE6"/>
    <w:rPr>
      <w:rFonts w:ascii="Arial" w:eastAsia="Arial" w:hAnsi="Arial" w:cs="Arial"/>
      <w:i/>
      <w:iCs/>
      <w:sz w:val="22"/>
      <w:szCs w:val="22"/>
    </w:rPr>
  </w:style>
  <w:style w:type="character" w:customStyle="1" w:styleId="Heading9Char">
    <w:name w:val="Heading 9 Char"/>
    <w:basedOn w:val="Policepardfaut"/>
    <w:uiPriority w:val="9"/>
    <w:rsid w:val="00B30EE6"/>
    <w:rPr>
      <w:rFonts w:ascii="Arial" w:eastAsia="Arial" w:hAnsi="Arial" w:cs="Arial"/>
      <w:i/>
      <w:iCs/>
      <w:sz w:val="21"/>
      <w:szCs w:val="21"/>
    </w:rPr>
  </w:style>
  <w:style w:type="paragraph" w:styleId="Sansinterligne">
    <w:name w:val="No Spacing"/>
    <w:uiPriority w:val="1"/>
    <w:qFormat/>
    <w:rsid w:val="00B30EE6"/>
    <w:pPr>
      <w:spacing w:after="0" w:line="240" w:lineRule="auto"/>
    </w:pPr>
  </w:style>
  <w:style w:type="character" w:customStyle="1" w:styleId="TitleChar">
    <w:name w:val="Title Char"/>
    <w:basedOn w:val="Policepardfaut"/>
    <w:uiPriority w:val="10"/>
    <w:rsid w:val="00B30EE6"/>
    <w:rPr>
      <w:sz w:val="48"/>
      <w:szCs w:val="48"/>
    </w:rPr>
  </w:style>
  <w:style w:type="character" w:customStyle="1" w:styleId="SubtitleChar">
    <w:name w:val="Subtitle Char"/>
    <w:basedOn w:val="Policepardfaut"/>
    <w:uiPriority w:val="11"/>
    <w:rsid w:val="00B30EE6"/>
    <w:rPr>
      <w:sz w:val="24"/>
      <w:szCs w:val="24"/>
    </w:rPr>
  </w:style>
  <w:style w:type="character" w:customStyle="1" w:styleId="QuoteChar">
    <w:name w:val="Quote Char"/>
    <w:uiPriority w:val="29"/>
    <w:rsid w:val="00B30EE6"/>
    <w:rPr>
      <w:i/>
    </w:rPr>
  </w:style>
  <w:style w:type="character" w:customStyle="1" w:styleId="IntenseQuoteChar">
    <w:name w:val="Intense Quote Char"/>
    <w:uiPriority w:val="30"/>
    <w:rsid w:val="00B30EE6"/>
    <w:rPr>
      <w:i/>
    </w:rPr>
  </w:style>
  <w:style w:type="character" w:customStyle="1" w:styleId="HeaderChar">
    <w:name w:val="Header Char"/>
    <w:basedOn w:val="Policepardfaut"/>
    <w:uiPriority w:val="99"/>
    <w:rsid w:val="00B30EE6"/>
  </w:style>
  <w:style w:type="character" w:customStyle="1" w:styleId="FooterChar">
    <w:name w:val="Footer Char"/>
    <w:basedOn w:val="Policepardfaut"/>
    <w:uiPriority w:val="99"/>
    <w:rsid w:val="00B30EE6"/>
  </w:style>
  <w:style w:type="table" w:customStyle="1" w:styleId="TableGridLight">
    <w:name w:val="Table Grid Light"/>
    <w:basedOn w:val="TableauNormal"/>
    <w:uiPriority w:val="59"/>
    <w:rsid w:val="00B30EE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rsid w:val="00B30EE6"/>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customStyle="1" w:styleId="Tableausimple21">
    <w:name w:val="Tableau simple 21"/>
    <w:basedOn w:val="TableauNormal"/>
    <w:uiPriority w:val="59"/>
    <w:rsid w:val="00B30EE6"/>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rsid w:val="00B30EE6"/>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41">
    <w:name w:val="Tableau simple 41"/>
    <w:basedOn w:val="TableauNormal"/>
    <w:uiPriority w:val="99"/>
    <w:rsid w:val="00B30EE6"/>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simple51">
    <w:name w:val="Tableau simple 51"/>
    <w:basedOn w:val="TableauNormal"/>
    <w:uiPriority w:val="99"/>
    <w:rsid w:val="00B30EE6"/>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customStyle="1" w:styleId="TableauGrille1Clair1">
    <w:name w:val="Tableau Grille 1 Clair1"/>
    <w:basedOn w:val="TableauNormal"/>
    <w:uiPriority w:val="99"/>
    <w:rsid w:val="00B30EE6"/>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rsid w:val="00B30EE6"/>
    <w:pPr>
      <w:spacing w:after="0" w:line="240" w:lineRule="auto"/>
    </w:pPr>
    <w:tblPr>
      <w:tblStyleRowBandSize w:val="1"/>
      <w:tblStyleColBandSize w:val="1"/>
      <w:tbl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insideH w:val="single" w:sz="4" w:space="0" w:color="8FC5F6" w:themeColor="accent1" w:themeTint="67"/>
        <w:insideV w:val="single" w:sz="4" w:space="0" w:color="8FC5F6" w:themeColor="accent1" w:themeTint="67"/>
      </w:tblBorders>
    </w:tblPr>
    <w:tblStylePr w:type="firstRow">
      <w:rPr>
        <w:b/>
        <w:color w:val="404040"/>
      </w:rPr>
      <w:tblPr/>
      <w:tcPr>
        <w:tcBorders>
          <w:bottom w:val="single" w:sz="12" w:space="0" w:color="5DABF2"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tcBorders>
      </w:tcPr>
    </w:tblStylePr>
  </w:style>
  <w:style w:type="table" w:customStyle="1" w:styleId="GridTable1Light-Accent2">
    <w:name w:val="Grid Table 1 Light - Accent 2"/>
    <w:basedOn w:val="TableauNormal"/>
    <w:uiPriority w:val="99"/>
    <w:rsid w:val="00B30EE6"/>
    <w:pPr>
      <w:spacing w:after="0" w:line="240" w:lineRule="auto"/>
    </w:pPr>
    <w:tblPr>
      <w:tblStyleRowBandSize w:val="1"/>
      <w:tblStyleColBandSize w:val="1"/>
      <w:tbl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insideH w:val="single" w:sz="4" w:space="0" w:color="88DDFF" w:themeColor="accent2" w:themeTint="67"/>
        <w:insideV w:val="single" w:sz="4" w:space="0" w:color="88DDFF" w:themeColor="accent2" w:themeTint="67"/>
      </w:tblBorders>
    </w:tblPr>
    <w:tblStylePr w:type="firstRow">
      <w:rPr>
        <w:b/>
        <w:color w:val="404040"/>
      </w:rPr>
      <w:tblPr/>
      <w:tcPr>
        <w:tcBorders>
          <w:bottom w:val="single" w:sz="12" w:space="0" w:color="53C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tcBorders>
      </w:tcPr>
    </w:tblStylePr>
  </w:style>
  <w:style w:type="table" w:customStyle="1" w:styleId="GridTable1Light-Accent3">
    <w:name w:val="Grid Table 1 Light - Accent 3"/>
    <w:basedOn w:val="TableauNormal"/>
    <w:uiPriority w:val="99"/>
    <w:rsid w:val="00B30EE6"/>
    <w:pPr>
      <w:spacing w:after="0" w:line="240" w:lineRule="auto"/>
    </w:pPr>
    <w:tblPr>
      <w:tblStyleRowBandSize w:val="1"/>
      <w:tblStyleColBandSize w:val="1"/>
      <w:tbl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insideH w:val="single" w:sz="4" w:space="0" w:color="92F4F9" w:themeColor="accent3" w:themeTint="67"/>
        <w:insideV w:val="single" w:sz="4" w:space="0" w:color="92F4F9" w:themeColor="accent3" w:themeTint="67"/>
      </w:tblBorders>
    </w:tblPr>
    <w:tblStylePr w:type="firstRow">
      <w:rPr>
        <w:b/>
        <w:color w:val="404040"/>
      </w:rPr>
      <w:tblPr/>
      <w:tcPr>
        <w:tcBorders>
          <w:bottom w:val="single" w:sz="12" w:space="0" w:color="61F0F7"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tcBorders>
      </w:tcPr>
    </w:tblStylePr>
  </w:style>
  <w:style w:type="table" w:customStyle="1" w:styleId="GridTable1Light-Accent4">
    <w:name w:val="Grid Table 1 Light - Accent 4"/>
    <w:basedOn w:val="TableauNormal"/>
    <w:uiPriority w:val="99"/>
    <w:rsid w:val="00B30EE6"/>
    <w:pPr>
      <w:spacing w:after="0" w:line="240" w:lineRule="auto"/>
    </w:pPr>
    <w:tblPr>
      <w:tblStyleRowBandSize w:val="1"/>
      <w:tblStyleColBandSize w:val="1"/>
      <w:tbl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insideH w:val="single" w:sz="4" w:space="0" w:color="93F6DB" w:themeColor="accent4" w:themeTint="67"/>
        <w:insideV w:val="single" w:sz="4" w:space="0" w:color="93F6DB" w:themeColor="accent4" w:themeTint="67"/>
      </w:tblBorders>
    </w:tblPr>
    <w:tblStylePr w:type="firstRow">
      <w:rPr>
        <w:b/>
        <w:color w:val="404040"/>
      </w:rPr>
      <w:tblPr/>
      <w:tcPr>
        <w:tcBorders>
          <w:bottom w:val="single" w:sz="12" w:space="0" w:color="63F3CB"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tcBorders>
      </w:tcPr>
    </w:tblStylePr>
  </w:style>
  <w:style w:type="table" w:customStyle="1" w:styleId="GridTable1Light-Accent5">
    <w:name w:val="Grid Table 1 Light - Accent 5"/>
    <w:basedOn w:val="TableauNormal"/>
    <w:uiPriority w:val="99"/>
    <w:rsid w:val="00B30EE6"/>
    <w:pPr>
      <w:spacing w:after="0" w:line="240" w:lineRule="auto"/>
    </w:pPr>
    <w:tblPr>
      <w:tblStyleRowBandSize w:val="1"/>
      <w:tblStyleColBandSize w:val="1"/>
      <w:tbl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insideH w:val="single" w:sz="4" w:space="0" w:color="C9E9BF" w:themeColor="accent5" w:themeTint="67"/>
        <w:insideV w:val="single" w:sz="4" w:space="0" w:color="C9E9BF" w:themeColor="accent5" w:themeTint="67"/>
      </w:tblBorders>
    </w:tblPr>
    <w:tblStylePr w:type="firstRow">
      <w:rPr>
        <w:b/>
        <w:color w:val="404040"/>
      </w:rPr>
      <w:tblPr/>
      <w:tcPr>
        <w:tcBorders>
          <w:bottom w:val="single" w:sz="12" w:space="0" w:color="B2E0A3"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tcBorders>
      </w:tcPr>
    </w:tblStylePr>
  </w:style>
  <w:style w:type="table" w:customStyle="1" w:styleId="GridTable1Light-Accent6">
    <w:name w:val="Grid Table 1 Light - Accent 6"/>
    <w:basedOn w:val="TableauNormal"/>
    <w:uiPriority w:val="99"/>
    <w:rsid w:val="00B30EE6"/>
    <w:pPr>
      <w:spacing w:after="0" w:line="240" w:lineRule="auto"/>
    </w:pPr>
    <w:tblPr>
      <w:tblStyleRowBandSize w:val="1"/>
      <w:tblStyleColBandSize w:val="1"/>
      <w:tbl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insideH w:val="single" w:sz="4" w:space="0" w:color="DAE6B5" w:themeColor="accent6" w:themeTint="67"/>
        <w:insideV w:val="single" w:sz="4" w:space="0" w:color="DAE6B5" w:themeColor="accent6" w:themeTint="67"/>
      </w:tblBorders>
    </w:tblPr>
    <w:tblStylePr w:type="firstRow">
      <w:rPr>
        <w:b/>
        <w:color w:val="404040"/>
      </w:rPr>
      <w:tblPr/>
      <w:tcPr>
        <w:tcBorders>
          <w:bottom w:val="single" w:sz="12" w:space="0" w:color="CADB94"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tcBorders>
      </w:tcPr>
    </w:tblStylePr>
  </w:style>
  <w:style w:type="table" w:customStyle="1" w:styleId="TableauGrille21">
    <w:name w:val="Tableau Grille 21"/>
    <w:basedOn w:val="TableauNormal"/>
    <w:uiPriority w:val="99"/>
    <w:rsid w:val="00B30EE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2-Accent1">
    <w:name w:val="Grid Table 2 - Accent 1"/>
    <w:basedOn w:val="TableauNormal"/>
    <w:uiPriority w:val="99"/>
    <w:rsid w:val="00B30EE6"/>
    <w:pPr>
      <w:spacing w:after="0" w:line="240" w:lineRule="auto"/>
    </w:pPr>
    <w:tblPr>
      <w:tblStyleRowBandSize w:val="1"/>
      <w:tblStyleColBandSize w:val="1"/>
      <w:tblBorders>
        <w:bottom w:val="single" w:sz="4" w:space="0" w:color="107BDC" w:themeColor="accent1" w:themeTint="EA"/>
        <w:insideH w:val="single" w:sz="4" w:space="0" w:color="107BDC" w:themeColor="accent1" w:themeTint="EA"/>
        <w:insideV w:val="single" w:sz="4" w:space="0" w:color="107BDC" w:themeColor="accent1" w:themeTint="EA"/>
      </w:tblBorders>
    </w:tblPr>
    <w:tblStylePr w:type="firstRow">
      <w:rPr>
        <w:b/>
        <w:color w:val="404040"/>
      </w:rPr>
      <w:tblPr/>
      <w:tcPr>
        <w:tcBorders>
          <w:top w:val="none" w:sz="4" w:space="0" w:color="000000"/>
          <w:left w:val="none" w:sz="4" w:space="0" w:color="000000"/>
          <w:bottom w:val="single" w:sz="12" w:space="0" w:color="107BDC" w:themeColor="accent1" w:themeTint="EA"/>
          <w:right w:val="none" w:sz="4" w:space="0" w:color="000000"/>
        </w:tcBorders>
        <w:shd w:val="clear" w:color="auto" w:fill="FFFFFF"/>
      </w:tcPr>
    </w:tblStylePr>
    <w:tblStylePr w:type="lastRow">
      <w:rPr>
        <w:b/>
        <w:color w:val="404040"/>
      </w:rPr>
      <w:tblPr/>
      <w:tcPr>
        <w:tcBorders>
          <w:top w:val="single" w:sz="4" w:space="0" w:color="107BDC"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6E1FA" w:themeFill="accent1" w:themeFillTint="34"/>
      </w:tcPr>
    </w:tblStylePr>
    <w:tblStylePr w:type="band1Horz">
      <w:rPr>
        <w:rFonts w:ascii="Arial" w:hAnsi="Arial"/>
        <w:color w:val="404040"/>
        <w:sz w:val="22"/>
      </w:rPr>
      <w:tblPr/>
      <w:tcPr>
        <w:shd w:val="clear" w:color="auto" w:fill="C6E1FA" w:themeFill="accent1" w:themeFillTint="34"/>
      </w:tcPr>
    </w:tblStylePr>
  </w:style>
  <w:style w:type="table" w:customStyle="1" w:styleId="GridTable2-Accent2">
    <w:name w:val="Grid Table 2 - Accent 2"/>
    <w:basedOn w:val="TableauNormal"/>
    <w:uiPriority w:val="99"/>
    <w:rsid w:val="00B30EE6"/>
    <w:pPr>
      <w:spacing w:after="0" w:line="240" w:lineRule="auto"/>
    </w:pPr>
    <w:tblPr>
      <w:tblStyleRowBandSize w:val="1"/>
      <w:tblStyleColBandSize w:val="1"/>
      <w:tblBorders>
        <w:bottom w:val="single" w:sz="4" w:space="0" w:color="51CEFF" w:themeColor="accent2" w:themeTint="97"/>
        <w:insideH w:val="single" w:sz="4" w:space="0" w:color="51CEFF" w:themeColor="accent2" w:themeTint="97"/>
        <w:insideV w:val="single" w:sz="4" w:space="0" w:color="51CEFF" w:themeColor="accent2" w:themeTint="97"/>
      </w:tblBorders>
    </w:tblPr>
    <w:tblStylePr w:type="firstRow">
      <w:rPr>
        <w:b/>
        <w:color w:val="404040"/>
      </w:rPr>
      <w:tblPr/>
      <w:tcPr>
        <w:tcBorders>
          <w:top w:val="none" w:sz="4" w:space="0" w:color="000000"/>
          <w:left w:val="none" w:sz="4" w:space="0" w:color="000000"/>
          <w:bottom w:val="single" w:sz="12" w:space="0" w:color="51CEFF" w:themeColor="accent2" w:themeTint="97"/>
          <w:right w:val="none" w:sz="4" w:space="0" w:color="000000"/>
        </w:tcBorders>
        <w:shd w:val="clear" w:color="auto" w:fill="FFFFFF"/>
      </w:tcPr>
    </w:tblStylePr>
    <w:tblStylePr w:type="lastRow">
      <w:rPr>
        <w:b/>
        <w:color w:val="404040"/>
      </w:rPr>
      <w:tblPr/>
      <w:tcPr>
        <w:tcBorders>
          <w:top w:val="single" w:sz="4" w:space="0" w:color="51CEFF"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EEFF" w:themeFill="accent2" w:themeFillTint="32"/>
      </w:tcPr>
    </w:tblStylePr>
    <w:tblStylePr w:type="band1Horz">
      <w:rPr>
        <w:rFonts w:ascii="Arial" w:hAnsi="Arial"/>
        <w:color w:val="404040"/>
        <w:sz w:val="22"/>
      </w:rPr>
      <w:tblPr/>
      <w:tcPr>
        <w:shd w:val="clear" w:color="auto" w:fill="C5EEFF" w:themeFill="accent2" w:themeFillTint="32"/>
      </w:tcPr>
    </w:tblStylePr>
  </w:style>
  <w:style w:type="table" w:customStyle="1" w:styleId="GridTable2-Accent3">
    <w:name w:val="Grid Table 2 - Accent 3"/>
    <w:basedOn w:val="TableauNormal"/>
    <w:uiPriority w:val="99"/>
    <w:rsid w:val="00B30EE6"/>
    <w:pPr>
      <w:spacing w:after="0" w:line="240" w:lineRule="auto"/>
    </w:pPr>
    <w:tblPr>
      <w:tblStyleRowBandSize w:val="1"/>
      <w:tblStyleColBandSize w:val="1"/>
      <w:tblBorders>
        <w:bottom w:val="single" w:sz="4" w:space="0" w:color="0BD0D9" w:themeColor="accent3" w:themeTint="FE"/>
        <w:insideH w:val="single" w:sz="4" w:space="0" w:color="0BD0D9" w:themeColor="accent3" w:themeTint="FE"/>
        <w:insideV w:val="single" w:sz="4" w:space="0" w:color="0BD0D9" w:themeColor="accent3" w:themeTint="FE"/>
      </w:tblBorders>
    </w:tblPr>
    <w:tblStylePr w:type="firstRow">
      <w:rPr>
        <w:b/>
        <w:color w:val="404040"/>
      </w:rPr>
      <w:tblPr/>
      <w:tcPr>
        <w:tcBorders>
          <w:top w:val="none" w:sz="4" w:space="0" w:color="000000"/>
          <w:left w:val="none" w:sz="4" w:space="0" w:color="000000"/>
          <w:bottom w:val="single" w:sz="12" w:space="0" w:color="0BD0D9" w:themeColor="accent3" w:themeTint="FE"/>
          <w:right w:val="none" w:sz="4" w:space="0" w:color="000000"/>
        </w:tcBorders>
        <w:shd w:val="clear" w:color="auto" w:fill="FFFFFF"/>
      </w:tcPr>
    </w:tblStylePr>
    <w:tblStylePr w:type="lastRow">
      <w:rPr>
        <w:b/>
        <w:color w:val="404040"/>
      </w:rPr>
      <w:tblPr/>
      <w:tcPr>
        <w:tcBorders>
          <w:top w:val="single" w:sz="4" w:space="0" w:color="0BD0D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9FC" w:themeFill="accent3" w:themeFillTint="34"/>
      </w:tcPr>
    </w:tblStylePr>
    <w:tblStylePr w:type="band1Horz">
      <w:rPr>
        <w:rFonts w:ascii="Arial" w:hAnsi="Arial"/>
        <w:color w:val="404040"/>
        <w:sz w:val="22"/>
      </w:rPr>
      <w:tblPr/>
      <w:tcPr>
        <w:shd w:val="clear" w:color="auto" w:fill="C8F9FC" w:themeFill="accent3" w:themeFillTint="34"/>
      </w:tcPr>
    </w:tblStylePr>
  </w:style>
  <w:style w:type="table" w:customStyle="1" w:styleId="GridTable2-Accent4">
    <w:name w:val="Grid Table 2 - Accent 4"/>
    <w:basedOn w:val="TableauNormal"/>
    <w:uiPriority w:val="99"/>
    <w:rsid w:val="00B30EE6"/>
    <w:pPr>
      <w:spacing w:after="0" w:line="240" w:lineRule="auto"/>
    </w:pPr>
    <w:tblPr>
      <w:tblStyleRowBandSize w:val="1"/>
      <w:tblStyleColBandSize w:val="1"/>
      <w:tblBorders>
        <w:bottom w:val="single" w:sz="4" w:space="0" w:color="5EF2C9" w:themeColor="accent4" w:themeTint="9A"/>
        <w:insideH w:val="single" w:sz="4" w:space="0" w:color="5EF2C9" w:themeColor="accent4" w:themeTint="9A"/>
        <w:insideV w:val="single" w:sz="4" w:space="0" w:color="5EF2C9" w:themeColor="accent4" w:themeTint="9A"/>
      </w:tblBorders>
    </w:tblPr>
    <w:tblStylePr w:type="firstRow">
      <w:rPr>
        <w:b/>
        <w:color w:val="404040"/>
      </w:rPr>
      <w:tblPr/>
      <w:tcPr>
        <w:tcBorders>
          <w:top w:val="none" w:sz="4" w:space="0" w:color="000000"/>
          <w:left w:val="none" w:sz="4" w:space="0" w:color="000000"/>
          <w:bottom w:val="single" w:sz="12" w:space="0" w:color="5EF2C9" w:themeColor="accent4" w:themeTint="9A"/>
          <w:right w:val="none" w:sz="4" w:space="0" w:color="000000"/>
        </w:tcBorders>
        <w:shd w:val="clear" w:color="auto" w:fill="FFFFFF"/>
      </w:tcPr>
    </w:tblStylePr>
    <w:tblStylePr w:type="lastRow">
      <w:rPr>
        <w:b/>
        <w:color w:val="404040"/>
      </w:rPr>
      <w:tblPr/>
      <w:tcPr>
        <w:tcBorders>
          <w:top w:val="single" w:sz="4" w:space="0" w:color="5EF2C9"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AED" w:themeFill="accent4" w:themeFillTint="34"/>
      </w:tcPr>
    </w:tblStylePr>
    <w:tblStylePr w:type="band1Horz">
      <w:rPr>
        <w:rFonts w:ascii="Arial" w:hAnsi="Arial"/>
        <w:color w:val="404040"/>
        <w:sz w:val="22"/>
      </w:rPr>
      <w:tblPr/>
      <w:tcPr>
        <w:shd w:val="clear" w:color="auto" w:fill="C8FAED" w:themeFill="accent4" w:themeFillTint="34"/>
      </w:tcPr>
    </w:tblStylePr>
  </w:style>
  <w:style w:type="table" w:customStyle="1" w:styleId="GridTable2-Accent5">
    <w:name w:val="Grid Table 2 - Accent 5"/>
    <w:basedOn w:val="TableauNormal"/>
    <w:uiPriority w:val="99"/>
    <w:rsid w:val="00B30EE6"/>
    <w:pPr>
      <w:spacing w:after="0" w:line="240" w:lineRule="auto"/>
    </w:pPr>
    <w:tblPr>
      <w:tblStyleRowBandSize w:val="1"/>
      <w:tblStyleColBandSize w:val="1"/>
      <w:tblBorders>
        <w:bottom w:val="single" w:sz="4" w:space="0" w:color="7CCA62" w:themeColor="accent5"/>
        <w:insideH w:val="single" w:sz="4" w:space="0" w:color="7CCA62" w:themeColor="accent5"/>
        <w:insideV w:val="single" w:sz="4" w:space="0" w:color="7CCA62" w:themeColor="accent5"/>
      </w:tblBorders>
    </w:tblPr>
    <w:tblStylePr w:type="firstRow">
      <w:rPr>
        <w:b/>
        <w:color w:val="404040"/>
      </w:rPr>
      <w:tblPr/>
      <w:tcPr>
        <w:tcBorders>
          <w:top w:val="none" w:sz="4" w:space="0" w:color="000000"/>
          <w:left w:val="none" w:sz="4" w:space="0" w:color="000000"/>
          <w:bottom w:val="single" w:sz="12" w:space="0" w:color="7CCA62" w:themeColor="accent5"/>
          <w:right w:val="none" w:sz="4" w:space="0" w:color="000000"/>
        </w:tcBorders>
        <w:shd w:val="clear" w:color="auto" w:fill="FFFFFF"/>
      </w:tcPr>
    </w:tblStylePr>
    <w:tblStylePr w:type="lastRow">
      <w:rPr>
        <w:b/>
        <w:color w:val="404040"/>
      </w:rPr>
      <w:tblPr/>
      <w:tcPr>
        <w:tcBorders>
          <w:top w:val="single" w:sz="4" w:space="0" w:color="7CCA62"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4F4DE" w:themeFill="accent5" w:themeFillTint="34"/>
      </w:tcPr>
    </w:tblStylePr>
    <w:tblStylePr w:type="band1Horz">
      <w:rPr>
        <w:rFonts w:ascii="Arial" w:hAnsi="Arial"/>
        <w:color w:val="404040"/>
        <w:sz w:val="22"/>
      </w:rPr>
      <w:tblPr/>
      <w:tcPr>
        <w:shd w:val="clear" w:color="auto" w:fill="E4F4DE" w:themeFill="accent5" w:themeFillTint="34"/>
      </w:tcPr>
    </w:tblStylePr>
  </w:style>
  <w:style w:type="table" w:customStyle="1" w:styleId="GridTable2-Accent6">
    <w:name w:val="Grid Table 2 - Accent 6"/>
    <w:basedOn w:val="TableauNormal"/>
    <w:uiPriority w:val="99"/>
    <w:rsid w:val="00B30EE6"/>
    <w:pPr>
      <w:spacing w:after="0" w:line="240" w:lineRule="auto"/>
    </w:pPr>
    <w:tblPr>
      <w:tblStyleRowBandSize w:val="1"/>
      <w:tblStyleColBandSize w:val="1"/>
      <w:tblBorders>
        <w:bottom w:val="single" w:sz="4" w:space="0" w:color="A5C249" w:themeColor="accent6"/>
        <w:insideH w:val="single" w:sz="4" w:space="0" w:color="A5C249" w:themeColor="accent6"/>
        <w:insideV w:val="single" w:sz="4" w:space="0" w:color="A5C249" w:themeColor="accent6"/>
      </w:tblBorders>
    </w:tblPr>
    <w:tblStylePr w:type="firstRow">
      <w:rPr>
        <w:b/>
        <w:color w:val="404040"/>
      </w:rPr>
      <w:tblPr/>
      <w:tcPr>
        <w:tcBorders>
          <w:top w:val="none" w:sz="4" w:space="0" w:color="000000"/>
          <w:left w:val="none" w:sz="4" w:space="0" w:color="000000"/>
          <w:bottom w:val="single" w:sz="12" w:space="0" w:color="A5C249" w:themeColor="accent6"/>
          <w:right w:val="none" w:sz="4" w:space="0" w:color="000000"/>
        </w:tcBorders>
        <w:shd w:val="clear" w:color="auto" w:fill="FFFFFF"/>
      </w:tcPr>
    </w:tblStylePr>
    <w:tblStylePr w:type="lastRow">
      <w:rPr>
        <w:b/>
        <w:color w:val="404040"/>
      </w:rPr>
      <w:tblPr/>
      <w:tcPr>
        <w:tcBorders>
          <w:top w:val="single" w:sz="4" w:space="0" w:color="A5C249"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F2D9" w:themeFill="accent6" w:themeFillTint="34"/>
      </w:tcPr>
    </w:tblStylePr>
    <w:tblStylePr w:type="band1Horz">
      <w:rPr>
        <w:rFonts w:ascii="Arial" w:hAnsi="Arial"/>
        <w:color w:val="404040"/>
        <w:sz w:val="22"/>
      </w:rPr>
      <w:tblPr/>
      <w:tcPr>
        <w:shd w:val="clear" w:color="auto" w:fill="ECF2D9" w:themeFill="accent6" w:themeFillTint="34"/>
      </w:tcPr>
    </w:tblStylePr>
  </w:style>
  <w:style w:type="table" w:customStyle="1" w:styleId="TableauGrille31">
    <w:name w:val="Tableau Grille 31"/>
    <w:basedOn w:val="TableauNormal"/>
    <w:uiPriority w:val="99"/>
    <w:rsid w:val="00B30EE6"/>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3-Accent1">
    <w:name w:val="Grid Table 3 - Accent 1"/>
    <w:basedOn w:val="TableauNormal"/>
    <w:uiPriority w:val="99"/>
    <w:rsid w:val="00B30EE6"/>
    <w:pPr>
      <w:spacing w:after="0" w:line="240" w:lineRule="auto"/>
    </w:pPr>
    <w:tblPr>
      <w:tblStyleRowBandSize w:val="1"/>
      <w:tblStyleColBandSize w:val="1"/>
      <w:tblBorders>
        <w:bottom w:val="single" w:sz="4" w:space="0" w:color="107BDC" w:themeColor="accent1" w:themeTint="EA"/>
        <w:insideH w:val="single" w:sz="4" w:space="0" w:color="107BDC" w:themeColor="accent1" w:themeTint="EA"/>
        <w:insideV w:val="single" w:sz="4" w:space="0" w:color="107BDC"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6E1FA" w:themeFill="accent1" w:themeFillTint="34"/>
      </w:tcPr>
    </w:tblStylePr>
    <w:tblStylePr w:type="band1Horz">
      <w:rPr>
        <w:rFonts w:ascii="Arial" w:hAnsi="Arial"/>
        <w:color w:val="404040"/>
        <w:sz w:val="22"/>
      </w:rPr>
      <w:tblPr/>
      <w:tcPr>
        <w:shd w:val="clear" w:color="auto" w:fill="C6E1FA" w:themeFill="accent1" w:themeFillTint="34"/>
      </w:tcPr>
    </w:tblStylePr>
  </w:style>
  <w:style w:type="table" w:customStyle="1" w:styleId="GridTable3-Accent2">
    <w:name w:val="Grid Table 3 - Accent 2"/>
    <w:basedOn w:val="TableauNormal"/>
    <w:uiPriority w:val="99"/>
    <w:rsid w:val="00B30EE6"/>
    <w:pPr>
      <w:spacing w:after="0" w:line="240" w:lineRule="auto"/>
    </w:pPr>
    <w:tblPr>
      <w:tblStyleRowBandSize w:val="1"/>
      <w:tblStyleColBandSize w:val="1"/>
      <w:tblBorders>
        <w:bottom w:val="single" w:sz="4" w:space="0" w:color="51CEFF" w:themeColor="accent2" w:themeTint="97"/>
        <w:insideH w:val="single" w:sz="4" w:space="0" w:color="51CEFF" w:themeColor="accent2" w:themeTint="97"/>
        <w:insideV w:val="single" w:sz="4" w:space="0" w:color="51CE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5EEFF" w:themeFill="accent2" w:themeFillTint="32"/>
      </w:tcPr>
    </w:tblStylePr>
    <w:tblStylePr w:type="band1Horz">
      <w:rPr>
        <w:rFonts w:ascii="Arial" w:hAnsi="Arial"/>
        <w:color w:val="404040"/>
        <w:sz w:val="22"/>
      </w:rPr>
      <w:tblPr/>
      <w:tcPr>
        <w:shd w:val="clear" w:color="auto" w:fill="C5EEFF" w:themeFill="accent2" w:themeFillTint="32"/>
      </w:tcPr>
    </w:tblStylePr>
  </w:style>
  <w:style w:type="table" w:customStyle="1" w:styleId="GridTable3-Accent3">
    <w:name w:val="Grid Table 3 - Accent 3"/>
    <w:basedOn w:val="TableauNormal"/>
    <w:uiPriority w:val="99"/>
    <w:rsid w:val="00B30EE6"/>
    <w:pPr>
      <w:spacing w:after="0" w:line="240" w:lineRule="auto"/>
    </w:pPr>
    <w:tblPr>
      <w:tblStyleRowBandSize w:val="1"/>
      <w:tblStyleColBandSize w:val="1"/>
      <w:tblBorders>
        <w:bottom w:val="single" w:sz="4" w:space="0" w:color="0BD0D9" w:themeColor="accent3" w:themeTint="FE"/>
        <w:insideH w:val="single" w:sz="4" w:space="0" w:color="0BD0D9" w:themeColor="accent3" w:themeTint="FE"/>
        <w:insideV w:val="single" w:sz="4" w:space="0" w:color="0BD0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8F9FC" w:themeFill="accent3" w:themeFillTint="34"/>
      </w:tcPr>
    </w:tblStylePr>
    <w:tblStylePr w:type="band1Horz">
      <w:rPr>
        <w:rFonts w:ascii="Arial" w:hAnsi="Arial"/>
        <w:color w:val="404040"/>
        <w:sz w:val="22"/>
      </w:rPr>
      <w:tblPr/>
      <w:tcPr>
        <w:shd w:val="clear" w:color="auto" w:fill="C8F9FC" w:themeFill="accent3" w:themeFillTint="34"/>
      </w:tcPr>
    </w:tblStylePr>
  </w:style>
  <w:style w:type="table" w:customStyle="1" w:styleId="GridTable3-Accent4">
    <w:name w:val="Grid Table 3 - Accent 4"/>
    <w:basedOn w:val="TableauNormal"/>
    <w:uiPriority w:val="99"/>
    <w:rsid w:val="00B30EE6"/>
    <w:pPr>
      <w:spacing w:after="0" w:line="240" w:lineRule="auto"/>
    </w:pPr>
    <w:tblPr>
      <w:tblStyleRowBandSize w:val="1"/>
      <w:tblStyleColBandSize w:val="1"/>
      <w:tblBorders>
        <w:bottom w:val="single" w:sz="4" w:space="0" w:color="5EF2C9" w:themeColor="accent4" w:themeTint="9A"/>
        <w:insideH w:val="single" w:sz="4" w:space="0" w:color="5EF2C9" w:themeColor="accent4" w:themeTint="9A"/>
        <w:insideV w:val="single" w:sz="4" w:space="0" w:color="5EF2C9"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8FAED" w:themeFill="accent4" w:themeFillTint="34"/>
      </w:tcPr>
    </w:tblStylePr>
    <w:tblStylePr w:type="band1Horz">
      <w:rPr>
        <w:rFonts w:ascii="Arial" w:hAnsi="Arial"/>
        <w:color w:val="404040"/>
        <w:sz w:val="22"/>
      </w:rPr>
      <w:tblPr/>
      <w:tcPr>
        <w:shd w:val="clear" w:color="auto" w:fill="C8FAED" w:themeFill="accent4" w:themeFillTint="34"/>
      </w:tcPr>
    </w:tblStylePr>
  </w:style>
  <w:style w:type="table" w:customStyle="1" w:styleId="GridTable3-Accent5">
    <w:name w:val="Grid Table 3 - Accent 5"/>
    <w:basedOn w:val="TableauNormal"/>
    <w:uiPriority w:val="99"/>
    <w:rsid w:val="00B30EE6"/>
    <w:pPr>
      <w:spacing w:after="0" w:line="240" w:lineRule="auto"/>
    </w:pPr>
    <w:tblPr>
      <w:tblStyleRowBandSize w:val="1"/>
      <w:tblStyleColBandSize w:val="1"/>
      <w:tblBorders>
        <w:bottom w:val="single" w:sz="4" w:space="0" w:color="7CCA62" w:themeColor="accent5"/>
        <w:insideH w:val="single" w:sz="4" w:space="0" w:color="7CCA62" w:themeColor="accent5"/>
        <w:insideV w:val="single" w:sz="4" w:space="0" w:color="7CCA62"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4F4DE" w:themeFill="accent5" w:themeFillTint="34"/>
      </w:tcPr>
    </w:tblStylePr>
    <w:tblStylePr w:type="band1Horz">
      <w:rPr>
        <w:rFonts w:ascii="Arial" w:hAnsi="Arial"/>
        <w:color w:val="404040"/>
        <w:sz w:val="22"/>
      </w:rPr>
      <w:tblPr/>
      <w:tcPr>
        <w:shd w:val="clear" w:color="auto" w:fill="E4F4DE" w:themeFill="accent5" w:themeFillTint="34"/>
      </w:tcPr>
    </w:tblStylePr>
  </w:style>
  <w:style w:type="table" w:customStyle="1" w:styleId="GridTable3-Accent6">
    <w:name w:val="Grid Table 3 - Accent 6"/>
    <w:basedOn w:val="TableauNormal"/>
    <w:uiPriority w:val="99"/>
    <w:rsid w:val="00B30EE6"/>
    <w:pPr>
      <w:spacing w:after="0" w:line="240" w:lineRule="auto"/>
    </w:pPr>
    <w:tblPr>
      <w:tblStyleRowBandSize w:val="1"/>
      <w:tblStyleColBandSize w:val="1"/>
      <w:tblBorders>
        <w:bottom w:val="single" w:sz="4" w:space="0" w:color="A5C249" w:themeColor="accent6"/>
        <w:insideH w:val="single" w:sz="4" w:space="0" w:color="A5C249" w:themeColor="accent6"/>
        <w:insideV w:val="single" w:sz="4" w:space="0" w:color="A5C249"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F2D9" w:themeFill="accent6" w:themeFillTint="34"/>
      </w:tcPr>
    </w:tblStylePr>
    <w:tblStylePr w:type="band1Horz">
      <w:rPr>
        <w:rFonts w:ascii="Arial" w:hAnsi="Arial"/>
        <w:color w:val="404040"/>
        <w:sz w:val="22"/>
      </w:rPr>
      <w:tblPr/>
      <w:tcPr>
        <w:shd w:val="clear" w:color="auto" w:fill="ECF2D9" w:themeFill="accent6" w:themeFillTint="34"/>
      </w:tcPr>
    </w:tblStylePr>
  </w:style>
  <w:style w:type="table" w:customStyle="1" w:styleId="TableauGrille41">
    <w:name w:val="Tableau Grille 41"/>
    <w:basedOn w:val="TableauNormal"/>
    <w:uiPriority w:val="59"/>
    <w:rsid w:val="00B30EE6"/>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customStyle="1" w:styleId="GridTable4-Accent1">
    <w:name w:val="Grid Table 4 - Accent 1"/>
    <w:basedOn w:val="TableauNormal"/>
    <w:uiPriority w:val="59"/>
    <w:rsid w:val="00B30EE6"/>
    <w:pPr>
      <w:spacing w:after="0" w:line="240" w:lineRule="auto"/>
    </w:pPr>
    <w:tblPr>
      <w:tblStyleRowBandSize w:val="1"/>
      <w:tblStyleColBandSize w:val="1"/>
      <w:tblBorders>
        <w:top w:val="single" w:sz="4" w:space="0" w:color="62AEF3" w:themeColor="accent1" w:themeTint="90"/>
        <w:left w:val="single" w:sz="4" w:space="0" w:color="62AEF3" w:themeColor="accent1" w:themeTint="90"/>
        <w:bottom w:val="single" w:sz="4" w:space="0" w:color="62AEF3" w:themeColor="accent1" w:themeTint="90"/>
        <w:right w:val="single" w:sz="4" w:space="0" w:color="62AEF3" w:themeColor="accent1" w:themeTint="90"/>
        <w:insideH w:val="single" w:sz="4" w:space="0" w:color="62AEF3" w:themeColor="accent1" w:themeTint="90"/>
        <w:insideV w:val="single" w:sz="4" w:space="0" w:color="62AEF3" w:themeColor="accent1" w:themeTint="90"/>
      </w:tblBorders>
    </w:tblPr>
    <w:tblStylePr w:type="firstRow">
      <w:rPr>
        <w:rFonts w:ascii="Arial" w:hAnsi="Arial"/>
        <w:b/>
        <w:color w:val="FFFFFF"/>
        <w:sz w:val="22"/>
      </w:rPr>
      <w:tblPr/>
      <w:tcPr>
        <w:tcBorders>
          <w:top w:val="single" w:sz="4" w:space="0" w:color="107BDC" w:themeColor="accent1" w:themeTint="EA"/>
          <w:left w:val="single" w:sz="4" w:space="0" w:color="107BDC" w:themeColor="accent1" w:themeTint="EA"/>
          <w:bottom w:val="single" w:sz="4" w:space="0" w:color="107BDC" w:themeColor="accent1" w:themeTint="EA"/>
          <w:right w:val="single" w:sz="4" w:space="0" w:color="107BDC" w:themeColor="accent1" w:themeTint="EA"/>
        </w:tcBorders>
        <w:shd w:val="clear" w:color="auto" w:fill="107BDC" w:themeFill="accent1" w:themeFillTint="EA"/>
      </w:tcPr>
    </w:tblStylePr>
    <w:tblStylePr w:type="lastRow">
      <w:rPr>
        <w:b/>
        <w:color w:val="404040"/>
      </w:rPr>
      <w:tblPr/>
      <w:tcPr>
        <w:tcBorders>
          <w:top w:val="single" w:sz="4" w:space="0" w:color="107BDC"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E2FB" w:themeFill="accent1" w:themeFillTint="32"/>
      </w:tcPr>
    </w:tblStylePr>
    <w:tblStylePr w:type="band1Horz">
      <w:rPr>
        <w:rFonts w:ascii="Arial" w:hAnsi="Arial"/>
        <w:color w:val="404040"/>
        <w:sz w:val="22"/>
      </w:rPr>
      <w:tblPr/>
      <w:tcPr>
        <w:shd w:val="clear" w:color="auto" w:fill="C8E2FB" w:themeFill="accent1" w:themeFillTint="32"/>
      </w:tcPr>
    </w:tblStylePr>
  </w:style>
  <w:style w:type="table" w:customStyle="1" w:styleId="GridTable4-Accent2">
    <w:name w:val="Grid Table 4 - Accent 2"/>
    <w:basedOn w:val="TableauNormal"/>
    <w:uiPriority w:val="59"/>
    <w:rsid w:val="00B30EE6"/>
    <w:pPr>
      <w:spacing w:after="0" w:line="240" w:lineRule="auto"/>
    </w:pPr>
    <w:tblPr>
      <w:tblStyleRowBandSize w:val="1"/>
      <w:tblStyleColBandSize w:val="1"/>
      <w:tblBorders>
        <w:top w:val="single" w:sz="4" w:space="0" w:color="59D0FF" w:themeColor="accent2" w:themeTint="90"/>
        <w:left w:val="single" w:sz="4" w:space="0" w:color="59D0FF" w:themeColor="accent2" w:themeTint="90"/>
        <w:bottom w:val="single" w:sz="4" w:space="0" w:color="59D0FF" w:themeColor="accent2" w:themeTint="90"/>
        <w:right w:val="single" w:sz="4" w:space="0" w:color="59D0FF" w:themeColor="accent2" w:themeTint="90"/>
        <w:insideH w:val="single" w:sz="4" w:space="0" w:color="59D0FF" w:themeColor="accent2" w:themeTint="90"/>
        <w:insideV w:val="single" w:sz="4" w:space="0" w:color="59D0FF" w:themeColor="accent2" w:themeTint="90"/>
      </w:tblBorders>
    </w:tblPr>
    <w:tblStylePr w:type="firstRow">
      <w:rPr>
        <w:rFonts w:ascii="Arial" w:hAnsi="Arial"/>
        <w:b/>
        <w:color w:val="FFFFFF"/>
        <w:sz w:val="22"/>
      </w:rPr>
      <w:tblPr/>
      <w:tcPr>
        <w:tcBorders>
          <w:top w:val="single" w:sz="4" w:space="0" w:color="51CEFF" w:themeColor="accent2" w:themeTint="97"/>
          <w:left w:val="single" w:sz="4" w:space="0" w:color="51CEFF" w:themeColor="accent2" w:themeTint="97"/>
          <w:bottom w:val="single" w:sz="4" w:space="0" w:color="51CEFF" w:themeColor="accent2" w:themeTint="97"/>
          <w:right w:val="single" w:sz="4" w:space="0" w:color="51CEFF" w:themeColor="accent2" w:themeTint="97"/>
        </w:tcBorders>
        <w:shd w:val="clear" w:color="auto" w:fill="51CEFF" w:themeFill="accent2" w:themeFillTint="97"/>
      </w:tcPr>
    </w:tblStylePr>
    <w:tblStylePr w:type="lastRow">
      <w:rPr>
        <w:b/>
        <w:color w:val="404040"/>
      </w:rPr>
      <w:tblPr/>
      <w:tcPr>
        <w:tcBorders>
          <w:top w:val="single" w:sz="4" w:space="0" w:color="51CE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EEFF" w:themeFill="accent2" w:themeFillTint="32"/>
      </w:tcPr>
    </w:tblStylePr>
    <w:tblStylePr w:type="band1Horz">
      <w:rPr>
        <w:rFonts w:ascii="Arial" w:hAnsi="Arial"/>
        <w:color w:val="404040"/>
        <w:sz w:val="22"/>
      </w:rPr>
      <w:tblPr/>
      <w:tcPr>
        <w:shd w:val="clear" w:color="auto" w:fill="C5EEFF" w:themeFill="accent2" w:themeFillTint="32"/>
      </w:tcPr>
    </w:tblStylePr>
  </w:style>
  <w:style w:type="table" w:customStyle="1" w:styleId="GridTable4-Accent3">
    <w:name w:val="Grid Table 4 - Accent 3"/>
    <w:basedOn w:val="TableauNormal"/>
    <w:uiPriority w:val="59"/>
    <w:rsid w:val="00B30EE6"/>
    <w:pPr>
      <w:spacing w:after="0" w:line="240" w:lineRule="auto"/>
    </w:pPr>
    <w:tblPr>
      <w:tblStyleRowBandSize w:val="1"/>
      <w:tblStyleColBandSize w:val="1"/>
      <w:tblBorders>
        <w:top w:val="single" w:sz="4" w:space="0" w:color="67F0F7" w:themeColor="accent3" w:themeTint="90"/>
        <w:left w:val="single" w:sz="4" w:space="0" w:color="67F0F7" w:themeColor="accent3" w:themeTint="90"/>
        <w:bottom w:val="single" w:sz="4" w:space="0" w:color="67F0F7" w:themeColor="accent3" w:themeTint="90"/>
        <w:right w:val="single" w:sz="4" w:space="0" w:color="67F0F7" w:themeColor="accent3" w:themeTint="90"/>
        <w:insideH w:val="single" w:sz="4" w:space="0" w:color="67F0F7" w:themeColor="accent3" w:themeTint="90"/>
        <w:insideV w:val="single" w:sz="4" w:space="0" w:color="67F0F7" w:themeColor="accent3" w:themeTint="90"/>
      </w:tblBorders>
    </w:tblPr>
    <w:tblStylePr w:type="firstRow">
      <w:rPr>
        <w:rFonts w:ascii="Arial" w:hAnsi="Arial"/>
        <w:b/>
        <w:color w:val="FFFFFF"/>
        <w:sz w:val="22"/>
      </w:rPr>
      <w:tblPr/>
      <w:tcPr>
        <w:tcBorders>
          <w:top w:val="single" w:sz="4" w:space="0" w:color="0BD0D9" w:themeColor="accent3" w:themeTint="FE"/>
          <w:left w:val="single" w:sz="4" w:space="0" w:color="0BD0D9" w:themeColor="accent3" w:themeTint="FE"/>
          <w:bottom w:val="single" w:sz="4" w:space="0" w:color="0BD0D9" w:themeColor="accent3" w:themeTint="FE"/>
          <w:right w:val="single" w:sz="4" w:space="0" w:color="0BD0D9" w:themeColor="accent3" w:themeTint="FE"/>
        </w:tcBorders>
        <w:shd w:val="clear" w:color="auto" w:fill="0BD0D9" w:themeFill="accent3" w:themeFillTint="FE"/>
      </w:tcPr>
    </w:tblStylePr>
    <w:tblStylePr w:type="lastRow">
      <w:rPr>
        <w:b/>
        <w:color w:val="404040"/>
      </w:rPr>
      <w:tblPr/>
      <w:tcPr>
        <w:tcBorders>
          <w:top w:val="single" w:sz="4" w:space="0" w:color="0BD0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9FC" w:themeFill="accent3" w:themeFillTint="34"/>
      </w:tcPr>
    </w:tblStylePr>
    <w:tblStylePr w:type="band1Horz">
      <w:rPr>
        <w:rFonts w:ascii="Arial" w:hAnsi="Arial"/>
        <w:color w:val="404040"/>
        <w:sz w:val="22"/>
      </w:rPr>
      <w:tblPr/>
      <w:tcPr>
        <w:shd w:val="clear" w:color="auto" w:fill="C8F9FC" w:themeFill="accent3" w:themeFillTint="34"/>
      </w:tcPr>
    </w:tblStylePr>
  </w:style>
  <w:style w:type="table" w:customStyle="1" w:styleId="GridTable4-Accent4">
    <w:name w:val="Grid Table 4 - Accent 4"/>
    <w:basedOn w:val="TableauNormal"/>
    <w:uiPriority w:val="59"/>
    <w:rsid w:val="00B30EE6"/>
    <w:pPr>
      <w:spacing w:after="0" w:line="240" w:lineRule="auto"/>
    </w:pPr>
    <w:tblPr>
      <w:tblStyleRowBandSize w:val="1"/>
      <w:tblStyleColBandSize w:val="1"/>
      <w:tblBorders>
        <w:top w:val="single" w:sz="4" w:space="0" w:color="68F3CD" w:themeColor="accent4" w:themeTint="90"/>
        <w:left w:val="single" w:sz="4" w:space="0" w:color="68F3CD" w:themeColor="accent4" w:themeTint="90"/>
        <w:bottom w:val="single" w:sz="4" w:space="0" w:color="68F3CD" w:themeColor="accent4" w:themeTint="90"/>
        <w:right w:val="single" w:sz="4" w:space="0" w:color="68F3CD" w:themeColor="accent4" w:themeTint="90"/>
        <w:insideH w:val="single" w:sz="4" w:space="0" w:color="68F3CD" w:themeColor="accent4" w:themeTint="90"/>
        <w:insideV w:val="single" w:sz="4" w:space="0" w:color="68F3CD" w:themeColor="accent4" w:themeTint="90"/>
      </w:tblBorders>
    </w:tblPr>
    <w:tblStylePr w:type="firstRow">
      <w:rPr>
        <w:rFonts w:ascii="Arial" w:hAnsi="Arial"/>
        <w:b/>
        <w:color w:val="FFFFFF"/>
        <w:sz w:val="22"/>
      </w:rPr>
      <w:tblPr/>
      <w:tcPr>
        <w:tcBorders>
          <w:top w:val="single" w:sz="4" w:space="0" w:color="5EF2C9" w:themeColor="accent4" w:themeTint="9A"/>
          <w:left w:val="single" w:sz="4" w:space="0" w:color="5EF2C9" w:themeColor="accent4" w:themeTint="9A"/>
          <w:bottom w:val="single" w:sz="4" w:space="0" w:color="5EF2C9" w:themeColor="accent4" w:themeTint="9A"/>
          <w:right w:val="single" w:sz="4" w:space="0" w:color="5EF2C9" w:themeColor="accent4" w:themeTint="9A"/>
        </w:tcBorders>
        <w:shd w:val="clear" w:color="auto" w:fill="5EF2C9" w:themeFill="accent4" w:themeFillTint="9A"/>
      </w:tcPr>
    </w:tblStylePr>
    <w:tblStylePr w:type="lastRow">
      <w:rPr>
        <w:b/>
        <w:color w:val="404040"/>
      </w:rPr>
      <w:tblPr/>
      <w:tcPr>
        <w:tcBorders>
          <w:top w:val="single" w:sz="4" w:space="0" w:color="5EF2C9"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8FAED" w:themeFill="accent4" w:themeFillTint="34"/>
      </w:tcPr>
    </w:tblStylePr>
    <w:tblStylePr w:type="band1Horz">
      <w:rPr>
        <w:rFonts w:ascii="Arial" w:hAnsi="Arial"/>
        <w:color w:val="404040"/>
        <w:sz w:val="22"/>
      </w:rPr>
      <w:tblPr/>
      <w:tcPr>
        <w:shd w:val="clear" w:color="auto" w:fill="C8FAED" w:themeFill="accent4" w:themeFillTint="34"/>
      </w:tcPr>
    </w:tblStylePr>
  </w:style>
  <w:style w:type="table" w:customStyle="1" w:styleId="GridTable4-Accent5">
    <w:name w:val="Grid Table 4 - Accent 5"/>
    <w:basedOn w:val="TableauNormal"/>
    <w:uiPriority w:val="59"/>
    <w:rsid w:val="00B30EE6"/>
    <w:pPr>
      <w:spacing w:after="0" w:line="240" w:lineRule="auto"/>
    </w:pPr>
    <w:tblPr>
      <w:tblStyleRowBandSize w:val="1"/>
      <w:tblStyleColBandSize w:val="1"/>
      <w:tblBorders>
        <w:top w:val="single" w:sz="4" w:space="0" w:color="B4E1A6" w:themeColor="accent5" w:themeTint="90"/>
        <w:left w:val="single" w:sz="4" w:space="0" w:color="B4E1A6" w:themeColor="accent5" w:themeTint="90"/>
        <w:bottom w:val="single" w:sz="4" w:space="0" w:color="B4E1A6" w:themeColor="accent5" w:themeTint="90"/>
        <w:right w:val="single" w:sz="4" w:space="0" w:color="B4E1A6" w:themeColor="accent5" w:themeTint="90"/>
        <w:insideH w:val="single" w:sz="4" w:space="0" w:color="B4E1A6" w:themeColor="accent5" w:themeTint="90"/>
        <w:insideV w:val="single" w:sz="4" w:space="0" w:color="B4E1A6" w:themeColor="accent5" w:themeTint="90"/>
      </w:tblBorders>
    </w:tblPr>
    <w:tblStylePr w:type="firstRow">
      <w:rPr>
        <w:rFonts w:ascii="Arial" w:hAnsi="Arial"/>
        <w:b/>
        <w:color w:val="FFFFFF"/>
        <w:sz w:val="22"/>
      </w:rPr>
      <w:tblPr/>
      <w:tcPr>
        <w:tcBorders>
          <w:top w:val="single" w:sz="4" w:space="0" w:color="7CCA62" w:themeColor="accent5"/>
          <w:left w:val="single" w:sz="4" w:space="0" w:color="7CCA62" w:themeColor="accent5"/>
          <w:bottom w:val="single" w:sz="4" w:space="0" w:color="7CCA62" w:themeColor="accent5"/>
          <w:right w:val="single" w:sz="4" w:space="0" w:color="7CCA62" w:themeColor="accent5"/>
        </w:tcBorders>
        <w:shd w:val="clear" w:color="auto" w:fill="7CCA62" w:themeFill="accent5"/>
      </w:tcPr>
    </w:tblStylePr>
    <w:tblStylePr w:type="lastRow">
      <w:rPr>
        <w:b/>
        <w:color w:val="404040"/>
      </w:rPr>
      <w:tblPr/>
      <w:tcPr>
        <w:tcBorders>
          <w:top w:val="single" w:sz="4" w:space="0" w:color="7CCA62"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4F4DE" w:themeFill="accent5" w:themeFillTint="34"/>
      </w:tcPr>
    </w:tblStylePr>
    <w:tblStylePr w:type="band1Horz">
      <w:rPr>
        <w:rFonts w:ascii="Arial" w:hAnsi="Arial"/>
        <w:color w:val="404040"/>
        <w:sz w:val="22"/>
      </w:rPr>
      <w:tblPr/>
      <w:tcPr>
        <w:shd w:val="clear" w:color="auto" w:fill="E4F4DE" w:themeFill="accent5" w:themeFillTint="34"/>
      </w:tcPr>
    </w:tblStylePr>
  </w:style>
  <w:style w:type="table" w:customStyle="1" w:styleId="GridTable4-Accent6">
    <w:name w:val="Grid Table 4 - Accent 6"/>
    <w:basedOn w:val="TableauNormal"/>
    <w:uiPriority w:val="59"/>
    <w:rsid w:val="00B30EE6"/>
    <w:pPr>
      <w:spacing w:after="0" w:line="240" w:lineRule="auto"/>
    </w:pPr>
    <w:tblPr>
      <w:tblStyleRowBandSize w:val="1"/>
      <w:tblStyleColBandSize w:val="1"/>
      <w:tblBorders>
        <w:top w:val="single" w:sz="4" w:space="0" w:color="CBDC98" w:themeColor="accent6" w:themeTint="90"/>
        <w:left w:val="single" w:sz="4" w:space="0" w:color="CBDC98" w:themeColor="accent6" w:themeTint="90"/>
        <w:bottom w:val="single" w:sz="4" w:space="0" w:color="CBDC98" w:themeColor="accent6" w:themeTint="90"/>
        <w:right w:val="single" w:sz="4" w:space="0" w:color="CBDC98" w:themeColor="accent6" w:themeTint="90"/>
        <w:insideH w:val="single" w:sz="4" w:space="0" w:color="CBDC98" w:themeColor="accent6" w:themeTint="90"/>
        <w:insideV w:val="single" w:sz="4" w:space="0" w:color="CBDC98" w:themeColor="accent6" w:themeTint="90"/>
      </w:tblBorders>
    </w:tblPr>
    <w:tblStylePr w:type="firstRow">
      <w:rPr>
        <w:rFonts w:ascii="Arial" w:hAnsi="Arial"/>
        <w:b/>
        <w:color w:val="FFFFFF"/>
        <w:sz w:val="22"/>
      </w:rPr>
      <w:tblPr/>
      <w:tcPr>
        <w:tcBorders>
          <w:top w:val="single" w:sz="4" w:space="0" w:color="A5C249" w:themeColor="accent6"/>
          <w:left w:val="single" w:sz="4" w:space="0" w:color="A5C249" w:themeColor="accent6"/>
          <w:bottom w:val="single" w:sz="4" w:space="0" w:color="A5C249" w:themeColor="accent6"/>
          <w:right w:val="single" w:sz="4" w:space="0" w:color="A5C249" w:themeColor="accent6"/>
        </w:tcBorders>
        <w:shd w:val="clear" w:color="auto" w:fill="A5C249" w:themeFill="accent6"/>
      </w:tcPr>
    </w:tblStylePr>
    <w:tblStylePr w:type="lastRow">
      <w:rPr>
        <w:b/>
        <w:color w:val="404040"/>
      </w:rPr>
      <w:tblPr/>
      <w:tcPr>
        <w:tcBorders>
          <w:top w:val="single" w:sz="4" w:space="0" w:color="A5C249"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F2D9" w:themeFill="accent6" w:themeFillTint="34"/>
      </w:tcPr>
    </w:tblStylePr>
    <w:tblStylePr w:type="band1Horz">
      <w:rPr>
        <w:rFonts w:ascii="Arial" w:hAnsi="Arial"/>
        <w:color w:val="404040"/>
        <w:sz w:val="22"/>
      </w:rPr>
      <w:tblPr/>
      <w:tcPr>
        <w:shd w:val="clear" w:color="auto" w:fill="ECF2D9" w:themeFill="accent6" w:themeFillTint="34"/>
      </w:tcPr>
    </w:tblStylePr>
  </w:style>
  <w:style w:type="table" w:customStyle="1" w:styleId="TableauGrille5Fonc1">
    <w:name w:val="Tableau Grille 5 Foncé1"/>
    <w:basedOn w:val="TableauNormal"/>
    <w:uiPriority w:val="99"/>
    <w:rsid w:val="00B30E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auNormal"/>
    <w:uiPriority w:val="99"/>
    <w:rsid w:val="00B30E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C6E1FA" w:themeFill="accent1" w:themeFillTint="34"/>
    </w:tblPr>
    <w:tblStylePr w:type="firstRow">
      <w:rPr>
        <w:rFonts w:ascii="Arial" w:hAnsi="Arial"/>
        <w:b/>
        <w:color w:val="FFFFFF"/>
        <w:sz w:val="22"/>
      </w:rPr>
      <w:tblPr/>
      <w:tcPr>
        <w:shd w:val="clear" w:color="auto" w:fill="0F6FC6" w:themeFill="accent1"/>
      </w:tcPr>
    </w:tblStylePr>
    <w:tblStylePr w:type="lastRow">
      <w:rPr>
        <w:rFonts w:ascii="Arial" w:hAnsi="Arial"/>
        <w:b/>
        <w:color w:val="FFFFFF"/>
        <w:sz w:val="22"/>
      </w:rPr>
      <w:tblPr/>
      <w:tcPr>
        <w:tcBorders>
          <w:top w:val="single" w:sz="4" w:space="0" w:color="FFFFFF" w:themeColor="light1"/>
        </w:tcBorders>
        <w:shd w:val="clear" w:color="auto" w:fill="0F6FC6" w:themeFill="accent1"/>
      </w:tcPr>
    </w:tblStylePr>
    <w:tblStylePr w:type="firstCol">
      <w:rPr>
        <w:rFonts w:ascii="Arial" w:hAnsi="Arial"/>
        <w:b/>
        <w:color w:val="FFFFFF"/>
        <w:sz w:val="22"/>
      </w:rPr>
      <w:tblPr/>
      <w:tcPr>
        <w:shd w:val="clear" w:color="auto" w:fill="0F6FC6" w:themeFill="accent1"/>
      </w:tcPr>
    </w:tblStylePr>
    <w:tblStylePr w:type="lastCol">
      <w:rPr>
        <w:rFonts w:ascii="Arial" w:hAnsi="Arial"/>
        <w:b/>
        <w:color w:val="FFFFFF"/>
        <w:sz w:val="22"/>
      </w:rPr>
      <w:tblPr/>
      <w:tcPr>
        <w:shd w:val="clear" w:color="auto" w:fill="0F6FC6" w:themeFill="accent1"/>
      </w:tcPr>
    </w:tblStylePr>
    <w:tblStylePr w:type="band1Vert">
      <w:tblPr/>
      <w:tcPr>
        <w:shd w:val="clear" w:color="auto" w:fill="80BDF5" w:themeFill="accent1" w:themeFillTint="75"/>
      </w:tcPr>
    </w:tblStylePr>
    <w:tblStylePr w:type="band1Horz">
      <w:tblPr/>
      <w:tcPr>
        <w:shd w:val="clear" w:color="auto" w:fill="80BDF5" w:themeFill="accent1" w:themeFillTint="75"/>
      </w:tcPr>
    </w:tblStylePr>
  </w:style>
  <w:style w:type="table" w:customStyle="1" w:styleId="GridTable5Dark-Accent2">
    <w:name w:val="Grid Table 5 Dark - Accent 2"/>
    <w:basedOn w:val="TableauNormal"/>
    <w:uiPriority w:val="99"/>
    <w:rsid w:val="00B30E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C5EEFF" w:themeFill="accent2" w:themeFillTint="32"/>
    </w:tblPr>
    <w:tblStylePr w:type="firstRow">
      <w:rPr>
        <w:rFonts w:ascii="Arial" w:hAnsi="Arial"/>
        <w:b/>
        <w:color w:val="FFFFFF"/>
        <w:sz w:val="22"/>
      </w:rPr>
      <w:tblPr/>
      <w:tcPr>
        <w:shd w:val="clear" w:color="auto" w:fill="009DD9" w:themeFill="accent2"/>
      </w:tcPr>
    </w:tblStylePr>
    <w:tblStylePr w:type="lastRow">
      <w:rPr>
        <w:rFonts w:ascii="Arial" w:hAnsi="Arial"/>
        <w:b/>
        <w:color w:val="FFFFFF"/>
        <w:sz w:val="22"/>
      </w:rPr>
      <w:tblPr/>
      <w:tcPr>
        <w:tcBorders>
          <w:top w:val="single" w:sz="4" w:space="0" w:color="FFFFFF" w:themeColor="light1"/>
        </w:tcBorders>
        <w:shd w:val="clear" w:color="auto" w:fill="009DD9" w:themeFill="accent2"/>
      </w:tcPr>
    </w:tblStylePr>
    <w:tblStylePr w:type="firstCol">
      <w:rPr>
        <w:rFonts w:ascii="Arial" w:hAnsi="Arial"/>
        <w:b/>
        <w:color w:val="FFFFFF"/>
        <w:sz w:val="22"/>
      </w:rPr>
      <w:tblPr/>
      <w:tcPr>
        <w:shd w:val="clear" w:color="auto" w:fill="009DD9" w:themeFill="accent2"/>
      </w:tcPr>
    </w:tblStylePr>
    <w:tblStylePr w:type="lastCol">
      <w:rPr>
        <w:rFonts w:ascii="Arial" w:hAnsi="Arial"/>
        <w:b/>
        <w:color w:val="FFFFFF"/>
        <w:sz w:val="22"/>
      </w:rPr>
      <w:tblPr/>
      <w:tcPr>
        <w:shd w:val="clear" w:color="auto" w:fill="009DD9" w:themeFill="accent2"/>
      </w:tcPr>
    </w:tblStylePr>
    <w:tblStylePr w:type="band1Vert">
      <w:tblPr/>
      <w:tcPr>
        <w:shd w:val="clear" w:color="auto" w:fill="78D9FF" w:themeFill="accent2" w:themeFillTint="75"/>
      </w:tcPr>
    </w:tblStylePr>
    <w:tblStylePr w:type="band1Horz">
      <w:tblPr/>
      <w:tcPr>
        <w:shd w:val="clear" w:color="auto" w:fill="78D9FF" w:themeFill="accent2" w:themeFillTint="75"/>
      </w:tcPr>
    </w:tblStylePr>
  </w:style>
  <w:style w:type="table" w:customStyle="1" w:styleId="GridTable5Dark-Accent3">
    <w:name w:val="Grid Table 5 Dark - Accent 3"/>
    <w:basedOn w:val="TableauNormal"/>
    <w:uiPriority w:val="99"/>
    <w:rsid w:val="00B30E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C8F9FC" w:themeFill="accent3" w:themeFillTint="34"/>
    </w:tblPr>
    <w:tblStylePr w:type="firstRow">
      <w:rPr>
        <w:rFonts w:ascii="Arial" w:hAnsi="Arial"/>
        <w:b/>
        <w:color w:val="FFFFFF"/>
        <w:sz w:val="22"/>
      </w:rPr>
      <w:tblPr/>
      <w:tcPr>
        <w:shd w:val="clear" w:color="auto" w:fill="0BD0D9" w:themeFill="accent3"/>
      </w:tcPr>
    </w:tblStylePr>
    <w:tblStylePr w:type="lastRow">
      <w:rPr>
        <w:rFonts w:ascii="Arial" w:hAnsi="Arial"/>
        <w:b/>
        <w:color w:val="FFFFFF"/>
        <w:sz w:val="22"/>
      </w:rPr>
      <w:tblPr/>
      <w:tcPr>
        <w:tcBorders>
          <w:top w:val="single" w:sz="4" w:space="0" w:color="FFFFFF" w:themeColor="light1"/>
        </w:tcBorders>
        <w:shd w:val="clear" w:color="auto" w:fill="0BD0D9" w:themeFill="accent3"/>
      </w:tcPr>
    </w:tblStylePr>
    <w:tblStylePr w:type="firstCol">
      <w:rPr>
        <w:rFonts w:ascii="Arial" w:hAnsi="Arial"/>
        <w:b/>
        <w:color w:val="FFFFFF"/>
        <w:sz w:val="22"/>
      </w:rPr>
      <w:tblPr/>
      <w:tcPr>
        <w:shd w:val="clear" w:color="auto" w:fill="0BD0D9" w:themeFill="accent3"/>
      </w:tcPr>
    </w:tblStylePr>
    <w:tblStylePr w:type="lastCol">
      <w:rPr>
        <w:rFonts w:ascii="Arial" w:hAnsi="Arial"/>
        <w:b/>
        <w:color w:val="FFFFFF"/>
        <w:sz w:val="22"/>
      </w:rPr>
      <w:tblPr/>
      <w:tcPr>
        <w:shd w:val="clear" w:color="auto" w:fill="0BD0D9" w:themeFill="accent3"/>
      </w:tcPr>
    </w:tblStylePr>
    <w:tblStylePr w:type="band1Vert">
      <w:tblPr/>
      <w:tcPr>
        <w:shd w:val="clear" w:color="auto" w:fill="83F3F8" w:themeFill="accent3" w:themeFillTint="75"/>
      </w:tcPr>
    </w:tblStylePr>
    <w:tblStylePr w:type="band1Horz">
      <w:tblPr/>
      <w:tcPr>
        <w:shd w:val="clear" w:color="auto" w:fill="83F3F8" w:themeFill="accent3" w:themeFillTint="75"/>
      </w:tcPr>
    </w:tblStylePr>
  </w:style>
  <w:style w:type="table" w:customStyle="1" w:styleId="GridTable5Dark-Accent4">
    <w:name w:val="Grid Table 5 Dark- Accent 4"/>
    <w:basedOn w:val="TableauNormal"/>
    <w:uiPriority w:val="99"/>
    <w:rsid w:val="00B30E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C8FAED" w:themeFill="accent4" w:themeFillTint="34"/>
    </w:tblPr>
    <w:tblStylePr w:type="firstRow">
      <w:rPr>
        <w:rFonts w:ascii="Arial" w:hAnsi="Arial"/>
        <w:b/>
        <w:color w:val="FFFFFF"/>
        <w:sz w:val="22"/>
      </w:rPr>
      <w:tblPr/>
      <w:tcPr>
        <w:shd w:val="clear" w:color="auto" w:fill="10CF9B" w:themeFill="accent4"/>
      </w:tcPr>
    </w:tblStylePr>
    <w:tblStylePr w:type="lastRow">
      <w:rPr>
        <w:rFonts w:ascii="Arial" w:hAnsi="Arial"/>
        <w:b/>
        <w:color w:val="FFFFFF"/>
        <w:sz w:val="22"/>
      </w:rPr>
      <w:tblPr/>
      <w:tcPr>
        <w:tcBorders>
          <w:top w:val="single" w:sz="4" w:space="0" w:color="FFFFFF" w:themeColor="light1"/>
        </w:tcBorders>
        <w:shd w:val="clear" w:color="auto" w:fill="10CF9B" w:themeFill="accent4"/>
      </w:tcPr>
    </w:tblStylePr>
    <w:tblStylePr w:type="firstCol">
      <w:rPr>
        <w:rFonts w:ascii="Arial" w:hAnsi="Arial"/>
        <w:b/>
        <w:color w:val="FFFFFF"/>
        <w:sz w:val="22"/>
      </w:rPr>
      <w:tblPr/>
      <w:tcPr>
        <w:shd w:val="clear" w:color="auto" w:fill="10CF9B" w:themeFill="accent4"/>
      </w:tcPr>
    </w:tblStylePr>
    <w:tblStylePr w:type="lastCol">
      <w:rPr>
        <w:rFonts w:ascii="Arial" w:hAnsi="Arial"/>
        <w:b/>
        <w:color w:val="FFFFFF"/>
        <w:sz w:val="22"/>
      </w:rPr>
      <w:tblPr/>
      <w:tcPr>
        <w:shd w:val="clear" w:color="auto" w:fill="10CF9B" w:themeFill="accent4"/>
      </w:tcPr>
    </w:tblStylePr>
    <w:tblStylePr w:type="band1Vert">
      <w:tblPr/>
      <w:tcPr>
        <w:shd w:val="clear" w:color="auto" w:fill="84F5D6" w:themeFill="accent4" w:themeFillTint="75"/>
      </w:tcPr>
    </w:tblStylePr>
    <w:tblStylePr w:type="band1Horz">
      <w:tblPr/>
      <w:tcPr>
        <w:shd w:val="clear" w:color="auto" w:fill="84F5D6" w:themeFill="accent4" w:themeFillTint="75"/>
      </w:tcPr>
    </w:tblStylePr>
  </w:style>
  <w:style w:type="table" w:customStyle="1" w:styleId="GridTable5Dark-Accent5">
    <w:name w:val="Grid Table 5 Dark - Accent 5"/>
    <w:basedOn w:val="TableauNormal"/>
    <w:uiPriority w:val="99"/>
    <w:rsid w:val="00B30E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4F4DE" w:themeFill="accent5" w:themeFillTint="34"/>
    </w:tblPr>
    <w:tblStylePr w:type="firstRow">
      <w:rPr>
        <w:rFonts w:ascii="Arial" w:hAnsi="Arial"/>
        <w:b/>
        <w:color w:val="FFFFFF"/>
        <w:sz w:val="22"/>
      </w:rPr>
      <w:tblPr/>
      <w:tcPr>
        <w:shd w:val="clear" w:color="auto" w:fill="7CCA62" w:themeFill="accent5"/>
      </w:tcPr>
    </w:tblStylePr>
    <w:tblStylePr w:type="lastRow">
      <w:rPr>
        <w:rFonts w:ascii="Arial" w:hAnsi="Arial"/>
        <w:b/>
        <w:color w:val="FFFFFF"/>
        <w:sz w:val="22"/>
      </w:rPr>
      <w:tblPr/>
      <w:tcPr>
        <w:tcBorders>
          <w:top w:val="single" w:sz="4" w:space="0" w:color="FFFFFF" w:themeColor="light1"/>
        </w:tcBorders>
        <w:shd w:val="clear" w:color="auto" w:fill="7CCA62" w:themeFill="accent5"/>
      </w:tcPr>
    </w:tblStylePr>
    <w:tblStylePr w:type="firstCol">
      <w:rPr>
        <w:rFonts w:ascii="Arial" w:hAnsi="Arial"/>
        <w:b/>
        <w:color w:val="FFFFFF"/>
        <w:sz w:val="22"/>
      </w:rPr>
      <w:tblPr/>
      <w:tcPr>
        <w:shd w:val="clear" w:color="auto" w:fill="7CCA62" w:themeFill="accent5"/>
      </w:tcPr>
    </w:tblStylePr>
    <w:tblStylePr w:type="lastCol">
      <w:rPr>
        <w:rFonts w:ascii="Arial" w:hAnsi="Arial"/>
        <w:b/>
        <w:color w:val="FFFFFF"/>
        <w:sz w:val="22"/>
      </w:rPr>
      <w:tblPr/>
      <w:tcPr>
        <w:shd w:val="clear" w:color="auto" w:fill="7CCA62" w:themeFill="accent5"/>
      </w:tcPr>
    </w:tblStylePr>
    <w:tblStylePr w:type="band1Vert">
      <w:tblPr/>
      <w:tcPr>
        <w:shd w:val="clear" w:color="auto" w:fill="C2E6B6" w:themeFill="accent5" w:themeFillTint="75"/>
      </w:tcPr>
    </w:tblStylePr>
    <w:tblStylePr w:type="band1Horz">
      <w:tblPr/>
      <w:tcPr>
        <w:shd w:val="clear" w:color="auto" w:fill="C2E6B6" w:themeFill="accent5" w:themeFillTint="75"/>
      </w:tcPr>
    </w:tblStylePr>
  </w:style>
  <w:style w:type="table" w:customStyle="1" w:styleId="GridTable5Dark-Accent6">
    <w:name w:val="Grid Table 5 Dark - Accent 6"/>
    <w:basedOn w:val="TableauNormal"/>
    <w:uiPriority w:val="99"/>
    <w:rsid w:val="00B30EE6"/>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F2D9" w:themeFill="accent6" w:themeFillTint="34"/>
    </w:tblPr>
    <w:tblStylePr w:type="firstRow">
      <w:rPr>
        <w:rFonts w:ascii="Arial" w:hAnsi="Arial"/>
        <w:b/>
        <w:color w:val="FFFFFF"/>
        <w:sz w:val="22"/>
      </w:rPr>
      <w:tblPr/>
      <w:tcPr>
        <w:shd w:val="clear" w:color="auto" w:fill="A5C249" w:themeFill="accent6"/>
      </w:tcPr>
    </w:tblStylePr>
    <w:tblStylePr w:type="lastRow">
      <w:rPr>
        <w:rFonts w:ascii="Arial" w:hAnsi="Arial"/>
        <w:b/>
        <w:color w:val="FFFFFF"/>
        <w:sz w:val="22"/>
      </w:rPr>
      <w:tblPr/>
      <w:tcPr>
        <w:tcBorders>
          <w:top w:val="single" w:sz="4" w:space="0" w:color="FFFFFF" w:themeColor="light1"/>
        </w:tcBorders>
        <w:shd w:val="clear" w:color="auto" w:fill="A5C249" w:themeFill="accent6"/>
      </w:tcPr>
    </w:tblStylePr>
    <w:tblStylePr w:type="firstCol">
      <w:rPr>
        <w:rFonts w:ascii="Arial" w:hAnsi="Arial"/>
        <w:b/>
        <w:color w:val="FFFFFF"/>
        <w:sz w:val="22"/>
      </w:rPr>
      <w:tblPr/>
      <w:tcPr>
        <w:shd w:val="clear" w:color="auto" w:fill="A5C249" w:themeFill="accent6"/>
      </w:tcPr>
    </w:tblStylePr>
    <w:tblStylePr w:type="lastCol">
      <w:rPr>
        <w:rFonts w:ascii="Arial" w:hAnsi="Arial"/>
        <w:b/>
        <w:color w:val="FFFFFF"/>
        <w:sz w:val="22"/>
      </w:rPr>
      <w:tblPr/>
      <w:tcPr>
        <w:shd w:val="clear" w:color="auto" w:fill="A5C249" w:themeFill="accent6"/>
      </w:tcPr>
    </w:tblStylePr>
    <w:tblStylePr w:type="band1Vert">
      <w:tblPr/>
      <w:tcPr>
        <w:shd w:val="clear" w:color="auto" w:fill="D5E3AB" w:themeFill="accent6" w:themeFillTint="75"/>
      </w:tcPr>
    </w:tblStylePr>
    <w:tblStylePr w:type="band1Horz">
      <w:tblPr/>
      <w:tcPr>
        <w:shd w:val="clear" w:color="auto" w:fill="D5E3AB" w:themeFill="accent6" w:themeFillTint="75"/>
      </w:tcPr>
    </w:tblStylePr>
  </w:style>
  <w:style w:type="table" w:customStyle="1" w:styleId="TableauGrille6Couleur1">
    <w:name w:val="Tableau Grille 6 Couleur1"/>
    <w:basedOn w:val="TableauNormal"/>
    <w:uiPriority w:val="99"/>
    <w:rsid w:val="00B30EE6"/>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rsid w:val="00B30EE6"/>
    <w:pPr>
      <w:spacing w:after="0" w:line="240" w:lineRule="auto"/>
    </w:pPr>
    <w:tblPr>
      <w:tblStyleRowBandSize w:val="1"/>
      <w:tblStyleColBandSize w:val="1"/>
      <w:tblBorders>
        <w:top w:val="single" w:sz="4" w:space="0" w:color="74B7F4" w:themeColor="accent1" w:themeTint="80"/>
        <w:left w:val="single" w:sz="4" w:space="0" w:color="74B7F4" w:themeColor="accent1" w:themeTint="80"/>
        <w:bottom w:val="single" w:sz="4" w:space="0" w:color="74B7F4" w:themeColor="accent1" w:themeTint="80"/>
        <w:right w:val="single" w:sz="4" w:space="0" w:color="74B7F4" w:themeColor="accent1" w:themeTint="80"/>
        <w:insideH w:val="single" w:sz="4" w:space="0" w:color="74B7F4" w:themeColor="accent1" w:themeTint="80"/>
        <w:insideV w:val="single" w:sz="4" w:space="0" w:color="74B7F4" w:themeColor="accent1" w:themeTint="80"/>
      </w:tblBorders>
    </w:tblPr>
    <w:tblStylePr w:type="firstRow">
      <w:rPr>
        <w:b/>
        <w:color w:val="74B7F4" w:themeColor="accent1" w:themeTint="80" w:themeShade="95"/>
      </w:rPr>
      <w:tblPr/>
      <w:tcPr>
        <w:tcBorders>
          <w:bottom w:val="single" w:sz="12" w:space="0" w:color="74B7F4" w:themeColor="accent1" w:themeTint="80"/>
        </w:tcBorders>
      </w:tcPr>
    </w:tblStylePr>
    <w:tblStylePr w:type="lastRow">
      <w:rPr>
        <w:b/>
        <w:color w:val="74B7F4" w:themeColor="accent1" w:themeTint="80" w:themeShade="95"/>
      </w:rPr>
    </w:tblStylePr>
    <w:tblStylePr w:type="firstCol">
      <w:rPr>
        <w:b/>
        <w:color w:val="74B7F4" w:themeColor="accent1" w:themeTint="80" w:themeShade="95"/>
      </w:rPr>
    </w:tblStylePr>
    <w:tblStylePr w:type="lastCol">
      <w:rPr>
        <w:b/>
        <w:color w:val="74B7F4" w:themeColor="accent1" w:themeTint="80" w:themeShade="95"/>
      </w:rPr>
    </w:tblStylePr>
    <w:tblStylePr w:type="band1Vert">
      <w:tblPr/>
      <w:tcPr>
        <w:shd w:val="clear" w:color="auto" w:fill="C6E1FA" w:themeFill="accent1" w:themeFillTint="34"/>
      </w:tcPr>
    </w:tblStylePr>
    <w:tblStylePr w:type="band1Horz">
      <w:rPr>
        <w:rFonts w:ascii="Arial" w:hAnsi="Arial"/>
        <w:color w:val="74B7F4" w:themeColor="accent1" w:themeTint="80" w:themeShade="95"/>
        <w:sz w:val="22"/>
      </w:rPr>
      <w:tblPr/>
      <w:tcPr>
        <w:shd w:val="clear" w:color="auto" w:fill="C6E1FA" w:themeFill="accent1" w:themeFillTint="34"/>
      </w:tcPr>
    </w:tblStylePr>
    <w:tblStylePr w:type="band2Horz">
      <w:rPr>
        <w:rFonts w:ascii="Arial" w:hAnsi="Arial"/>
        <w:color w:val="74B7F4" w:themeColor="accent1" w:themeTint="80" w:themeShade="95"/>
        <w:sz w:val="22"/>
      </w:rPr>
    </w:tblStylePr>
  </w:style>
  <w:style w:type="table" w:customStyle="1" w:styleId="GridTable6Colorful-Accent2">
    <w:name w:val="Grid Table 6 Colorful - Accent 2"/>
    <w:basedOn w:val="TableauNormal"/>
    <w:uiPriority w:val="99"/>
    <w:rsid w:val="00B30EE6"/>
    <w:pPr>
      <w:spacing w:after="0" w:line="240" w:lineRule="auto"/>
    </w:pPr>
    <w:tblPr>
      <w:tblStyleRowBandSize w:val="1"/>
      <w:tblStyleColBandSize w:val="1"/>
      <w:tblBorders>
        <w:top w:val="single" w:sz="4" w:space="0" w:color="51CEFF" w:themeColor="accent2" w:themeTint="97"/>
        <w:left w:val="single" w:sz="4" w:space="0" w:color="51CEFF" w:themeColor="accent2" w:themeTint="97"/>
        <w:bottom w:val="single" w:sz="4" w:space="0" w:color="51CEFF" w:themeColor="accent2" w:themeTint="97"/>
        <w:right w:val="single" w:sz="4" w:space="0" w:color="51CEFF" w:themeColor="accent2" w:themeTint="97"/>
        <w:insideH w:val="single" w:sz="4" w:space="0" w:color="51CEFF" w:themeColor="accent2" w:themeTint="97"/>
        <w:insideV w:val="single" w:sz="4" w:space="0" w:color="51CEFF" w:themeColor="accent2" w:themeTint="97"/>
      </w:tblBorders>
    </w:tblPr>
    <w:tblStylePr w:type="firstRow">
      <w:rPr>
        <w:b/>
        <w:color w:val="51CEFF" w:themeColor="accent2" w:themeTint="97" w:themeShade="95"/>
      </w:rPr>
      <w:tblPr/>
      <w:tcPr>
        <w:tcBorders>
          <w:bottom w:val="single" w:sz="12" w:space="0" w:color="51CEFF" w:themeColor="accent2" w:themeTint="97"/>
        </w:tcBorders>
      </w:tcPr>
    </w:tblStylePr>
    <w:tblStylePr w:type="lastRow">
      <w:rPr>
        <w:b/>
        <w:color w:val="51CEFF" w:themeColor="accent2" w:themeTint="97" w:themeShade="95"/>
      </w:rPr>
    </w:tblStylePr>
    <w:tblStylePr w:type="firstCol">
      <w:rPr>
        <w:b/>
        <w:color w:val="51CEFF" w:themeColor="accent2" w:themeTint="97" w:themeShade="95"/>
      </w:rPr>
    </w:tblStylePr>
    <w:tblStylePr w:type="lastCol">
      <w:rPr>
        <w:b/>
        <w:color w:val="51CEFF" w:themeColor="accent2" w:themeTint="97" w:themeShade="95"/>
      </w:rPr>
    </w:tblStylePr>
    <w:tblStylePr w:type="band1Vert">
      <w:tblPr/>
      <w:tcPr>
        <w:shd w:val="clear" w:color="auto" w:fill="C5EEFF" w:themeFill="accent2" w:themeFillTint="32"/>
      </w:tcPr>
    </w:tblStylePr>
    <w:tblStylePr w:type="band1Horz">
      <w:rPr>
        <w:rFonts w:ascii="Arial" w:hAnsi="Arial"/>
        <w:color w:val="51CEFF" w:themeColor="accent2" w:themeTint="97" w:themeShade="95"/>
        <w:sz w:val="22"/>
      </w:rPr>
      <w:tblPr/>
      <w:tcPr>
        <w:shd w:val="clear" w:color="auto" w:fill="C5EEFF" w:themeFill="accent2" w:themeFillTint="32"/>
      </w:tcPr>
    </w:tblStylePr>
    <w:tblStylePr w:type="band2Horz">
      <w:rPr>
        <w:rFonts w:ascii="Arial" w:hAnsi="Arial"/>
        <w:color w:val="51CEFF" w:themeColor="accent2" w:themeTint="97" w:themeShade="95"/>
        <w:sz w:val="22"/>
      </w:rPr>
    </w:tblStylePr>
  </w:style>
  <w:style w:type="table" w:customStyle="1" w:styleId="GridTable6Colorful-Accent3">
    <w:name w:val="Grid Table 6 Colorful - Accent 3"/>
    <w:basedOn w:val="TableauNormal"/>
    <w:uiPriority w:val="99"/>
    <w:rsid w:val="00B30EE6"/>
    <w:pPr>
      <w:spacing w:after="0" w:line="240" w:lineRule="auto"/>
    </w:pPr>
    <w:tblPr>
      <w:tblStyleRowBandSize w:val="1"/>
      <w:tblStyleColBandSize w:val="1"/>
      <w:tblBorders>
        <w:top w:val="single" w:sz="4" w:space="0" w:color="0BD0D9" w:themeColor="accent3" w:themeTint="FE"/>
        <w:left w:val="single" w:sz="4" w:space="0" w:color="0BD0D9" w:themeColor="accent3" w:themeTint="FE"/>
        <w:bottom w:val="single" w:sz="4" w:space="0" w:color="0BD0D9" w:themeColor="accent3" w:themeTint="FE"/>
        <w:right w:val="single" w:sz="4" w:space="0" w:color="0BD0D9" w:themeColor="accent3" w:themeTint="FE"/>
        <w:insideH w:val="single" w:sz="4" w:space="0" w:color="0BD0D9" w:themeColor="accent3" w:themeTint="FE"/>
        <w:insideV w:val="single" w:sz="4" w:space="0" w:color="0BD0D9" w:themeColor="accent3" w:themeTint="FE"/>
      </w:tblBorders>
    </w:tblPr>
    <w:tblStylePr w:type="firstRow">
      <w:rPr>
        <w:b/>
        <w:color w:val="0BD0D9" w:themeColor="accent3" w:themeTint="FE" w:themeShade="95"/>
      </w:rPr>
      <w:tblPr/>
      <w:tcPr>
        <w:tcBorders>
          <w:bottom w:val="single" w:sz="12" w:space="0" w:color="0BD0D9" w:themeColor="accent3" w:themeTint="FE"/>
        </w:tcBorders>
      </w:tcPr>
    </w:tblStylePr>
    <w:tblStylePr w:type="lastRow">
      <w:rPr>
        <w:b/>
        <w:color w:val="0BD0D9" w:themeColor="accent3" w:themeTint="FE" w:themeShade="95"/>
      </w:rPr>
    </w:tblStylePr>
    <w:tblStylePr w:type="firstCol">
      <w:rPr>
        <w:b/>
        <w:color w:val="0BD0D9" w:themeColor="accent3" w:themeTint="FE" w:themeShade="95"/>
      </w:rPr>
    </w:tblStylePr>
    <w:tblStylePr w:type="lastCol">
      <w:rPr>
        <w:b/>
        <w:color w:val="0BD0D9" w:themeColor="accent3" w:themeTint="FE" w:themeShade="95"/>
      </w:rPr>
    </w:tblStylePr>
    <w:tblStylePr w:type="band1Vert">
      <w:tblPr/>
      <w:tcPr>
        <w:shd w:val="clear" w:color="auto" w:fill="C8F9FC" w:themeFill="accent3" w:themeFillTint="34"/>
      </w:tcPr>
    </w:tblStylePr>
    <w:tblStylePr w:type="band1Horz">
      <w:rPr>
        <w:rFonts w:ascii="Arial" w:hAnsi="Arial"/>
        <w:color w:val="0BD0D9" w:themeColor="accent3" w:themeTint="FE" w:themeShade="95"/>
        <w:sz w:val="22"/>
      </w:rPr>
      <w:tblPr/>
      <w:tcPr>
        <w:shd w:val="clear" w:color="auto" w:fill="C8F9FC" w:themeFill="accent3" w:themeFillTint="34"/>
      </w:tcPr>
    </w:tblStylePr>
    <w:tblStylePr w:type="band2Horz">
      <w:rPr>
        <w:rFonts w:ascii="Arial" w:hAnsi="Arial"/>
        <w:color w:val="0BD0D9" w:themeColor="accent3" w:themeTint="FE" w:themeShade="95"/>
        <w:sz w:val="22"/>
      </w:rPr>
    </w:tblStylePr>
  </w:style>
  <w:style w:type="table" w:customStyle="1" w:styleId="GridTable6Colorful-Accent4">
    <w:name w:val="Grid Table 6 Colorful - Accent 4"/>
    <w:basedOn w:val="TableauNormal"/>
    <w:uiPriority w:val="99"/>
    <w:rsid w:val="00B30EE6"/>
    <w:pPr>
      <w:spacing w:after="0" w:line="240" w:lineRule="auto"/>
    </w:pPr>
    <w:tblPr>
      <w:tblStyleRowBandSize w:val="1"/>
      <w:tblStyleColBandSize w:val="1"/>
      <w:tblBorders>
        <w:top w:val="single" w:sz="4" w:space="0" w:color="5EF2C9" w:themeColor="accent4" w:themeTint="9A"/>
        <w:left w:val="single" w:sz="4" w:space="0" w:color="5EF2C9" w:themeColor="accent4" w:themeTint="9A"/>
        <w:bottom w:val="single" w:sz="4" w:space="0" w:color="5EF2C9" w:themeColor="accent4" w:themeTint="9A"/>
        <w:right w:val="single" w:sz="4" w:space="0" w:color="5EF2C9" w:themeColor="accent4" w:themeTint="9A"/>
        <w:insideH w:val="single" w:sz="4" w:space="0" w:color="5EF2C9" w:themeColor="accent4" w:themeTint="9A"/>
        <w:insideV w:val="single" w:sz="4" w:space="0" w:color="5EF2C9" w:themeColor="accent4" w:themeTint="9A"/>
      </w:tblBorders>
    </w:tblPr>
    <w:tblStylePr w:type="firstRow">
      <w:rPr>
        <w:b/>
        <w:color w:val="5EF2C9" w:themeColor="accent4" w:themeTint="9A" w:themeShade="95"/>
      </w:rPr>
      <w:tblPr/>
      <w:tcPr>
        <w:tcBorders>
          <w:bottom w:val="single" w:sz="12" w:space="0" w:color="5EF2C9" w:themeColor="accent4" w:themeTint="9A"/>
        </w:tcBorders>
      </w:tcPr>
    </w:tblStylePr>
    <w:tblStylePr w:type="lastRow">
      <w:rPr>
        <w:b/>
        <w:color w:val="5EF2C9" w:themeColor="accent4" w:themeTint="9A" w:themeShade="95"/>
      </w:rPr>
    </w:tblStylePr>
    <w:tblStylePr w:type="firstCol">
      <w:rPr>
        <w:b/>
        <w:color w:val="5EF2C9" w:themeColor="accent4" w:themeTint="9A" w:themeShade="95"/>
      </w:rPr>
    </w:tblStylePr>
    <w:tblStylePr w:type="lastCol">
      <w:rPr>
        <w:b/>
        <w:color w:val="5EF2C9" w:themeColor="accent4" w:themeTint="9A" w:themeShade="95"/>
      </w:rPr>
    </w:tblStylePr>
    <w:tblStylePr w:type="band1Vert">
      <w:tblPr/>
      <w:tcPr>
        <w:shd w:val="clear" w:color="auto" w:fill="C8FAED" w:themeFill="accent4" w:themeFillTint="34"/>
      </w:tcPr>
    </w:tblStylePr>
    <w:tblStylePr w:type="band1Horz">
      <w:rPr>
        <w:rFonts w:ascii="Arial" w:hAnsi="Arial"/>
        <w:color w:val="5EF2C9" w:themeColor="accent4" w:themeTint="9A" w:themeShade="95"/>
        <w:sz w:val="22"/>
      </w:rPr>
      <w:tblPr/>
      <w:tcPr>
        <w:shd w:val="clear" w:color="auto" w:fill="C8FAED" w:themeFill="accent4" w:themeFillTint="34"/>
      </w:tcPr>
    </w:tblStylePr>
    <w:tblStylePr w:type="band2Horz">
      <w:rPr>
        <w:rFonts w:ascii="Arial" w:hAnsi="Arial"/>
        <w:color w:val="5EF2C9" w:themeColor="accent4" w:themeTint="9A" w:themeShade="95"/>
        <w:sz w:val="22"/>
      </w:rPr>
    </w:tblStylePr>
  </w:style>
  <w:style w:type="table" w:customStyle="1" w:styleId="GridTable6Colorful-Accent5">
    <w:name w:val="Grid Table 6 Colorful - Accent 5"/>
    <w:basedOn w:val="TableauNormal"/>
    <w:uiPriority w:val="99"/>
    <w:rsid w:val="00B30EE6"/>
    <w:pPr>
      <w:spacing w:after="0" w:line="240" w:lineRule="auto"/>
    </w:pPr>
    <w:tblPr>
      <w:tblStyleRowBandSize w:val="1"/>
      <w:tblStyleColBandSize w:val="1"/>
      <w:tblBorders>
        <w:top w:val="single" w:sz="4" w:space="0" w:color="7CCA62" w:themeColor="accent5"/>
        <w:left w:val="single" w:sz="4" w:space="0" w:color="7CCA62" w:themeColor="accent5"/>
        <w:bottom w:val="single" w:sz="4" w:space="0" w:color="7CCA62" w:themeColor="accent5"/>
        <w:right w:val="single" w:sz="4" w:space="0" w:color="7CCA62" w:themeColor="accent5"/>
        <w:insideH w:val="single" w:sz="4" w:space="0" w:color="7CCA62" w:themeColor="accent5"/>
        <w:insideV w:val="single" w:sz="4" w:space="0" w:color="7CCA62" w:themeColor="accent5"/>
      </w:tblBorders>
    </w:tblPr>
    <w:tblStylePr w:type="firstRow">
      <w:rPr>
        <w:b/>
        <w:color w:val="41822C" w:themeColor="accent5" w:themeShade="95"/>
      </w:rPr>
      <w:tblPr/>
      <w:tcPr>
        <w:tcBorders>
          <w:bottom w:val="single" w:sz="12" w:space="0" w:color="7CCA62" w:themeColor="accent5"/>
        </w:tcBorders>
      </w:tcPr>
    </w:tblStylePr>
    <w:tblStylePr w:type="lastRow">
      <w:rPr>
        <w:b/>
        <w:color w:val="41822C" w:themeColor="accent5" w:themeShade="95"/>
      </w:rPr>
    </w:tblStylePr>
    <w:tblStylePr w:type="firstCol">
      <w:rPr>
        <w:b/>
        <w:color w:val="41822C" w:themeColor="accent5" w:themeShade="95"/>
      </w:rPr>
    </w:tblStylePr>
    <w:tblStylePr w:type="lastCol">
      <w:rPr>
        <w:b/>
        <w:color w:val="41822C" w:themeColor="accent5" w:themeShade="95"/>
      </w:rPr>
    </w:tblStylePr>
    <w:tblStylePr w:type="band1Vert">
      <w:tblPr/>
      <w:tcPr>
        <w:shd w:val="clear" w:color="auto" w:fill="E4F4DE" w:themeFill="accent5" w:themeFillTint="34"/>
      </w:tcPr>
    </w:tblStylePr>
    <w:tblStylePr w:type="band1Horz">
      <w:rPr>
        <w:rFonts w:ascii="Arial" w:hAnsi="Arial"/>
        <w:color w:val="41822C" w:themeColor="accent5" w:themeShade="95"/>
        <w:sz w:val="22"/>
      </w:rPr>
      <w:tblPr/>
      <w:tcPr>
        <w:shd w:val="clear" w:color="auto" w:fill="E4F4DE" w:themeFill="accent5" w:themeFillTint="34"/>
      </w:tcPr>
    </w:tblStylePr>
    <w:tblStylePr w:type="band2Horz">
      <w:rPr>
        <w:rFonts w:ascii="Arial" w:hAnsi="Arial"/>
        <w:color w:val="41822C" w:themeColor="accent5" w:themeShade="95"/>
        <w:sz w:val="22"/>
      </w:rPr>
    </w:tblStylePr>
  </w:style>
  <w:style w:type="table" w:customStyle="1" w:styleId="GridTable6Colorful-Accent6">
    <w:name w:val="Grid Table 6 Colorful - Accent 6"/>
    <w:basedOn w:val="TableauNormal"/>
    <w:uiPriority w:val="99"/>
    <w:rsid w:val="00B30EE6"/>
    <w:pPr>
      <w:spacing w:after="0" w:line="240" w:lineRule="auto"/>
    </w:pPr>
    <w:tblPr>
      <w:tblStyleRowBandSize w:val="1"/>
      <w:tblStyleColBandSize w:val="1"/>
      <w:tblBorders>
        <w:top w:val="single" w:sz="4" w:space="0" w:color="A5C249" w:themeColor="accent6"/>
        <w:left w:val="single" w:sz="4" w:space="0" w:color="A5C249" w:themeColor="accent6"/>
        <w:bottom w:val="single" w:sz="4" w:space="0" w:color="A5C249" w:themeColor="accent6"/>
        <w:right w:val="single" w:sz="4" w:space="0" w:color="A5C249" w:themeColor="accent6"/>
        <w:insideH w:val="single" w:sz="4" w:space="0" w:color="A5C249" w:themeColor="accent6"/>
        <w:insideV w:val="single" w:sz="4" w:space="0" w:color="A5C249" w:themeColor="accent6"/>
      </w:tblBorders>
    </w:tblPr>
    <w:tblStylePr w:type="firstRow">
      <w:rPr>
        <w:b/>
        <w:color w:val="41822C" w:themeColor="accent5" w:themeShade="95"/>
      </w:rPr>
      <w:tblPr/>
      <w:tcPr>
        <w:tcBorders>
          <w:bottom w:val="single" w:sz="12" w:space="0" w:color="A5C249" w:themeColor="accent6"/>
        </w:tcBorders>
      </w:tcPr>
    </w:tblStylePr>
    <w:tblStylePr w:type="lastRow">
      <w:rPr>
        <w:b/>
        <w:color w:val="41822C" w:themeColor="accent5" w:themeShade="95"/>
      </w:rPr>
    </w:tblStylePr>
    <w:tblStylePr w:type="firstCol">
      <w:rPr>
        <w:b/>
        <w:color w:val="41822C" w:themeColor="accent5" w:themeShade="95"/>
      </w:rPr>
    </w:tblStylePr>
    <w:tblStylePr w:type="lastCol">
      <w:rPr>
        <w:b/>
        <w:color w:val="41822C" w:themeColor="accent5" w:themeShade="95"/>
      </w:rPr>
    </w:tblStylePr>
    <w:tblStylePr w:type="band1Vert">
      <w:tblPr/>
      <w:tcPr>
        <w:shd w:val="clear" w:color="auto" w:fill="ECF2D9" w:themeFill="accent6" w:themeFillTint="34"/>
      </w:tcPr>
    </w:tblStylePr>
    <w:tblStylePr w:type="band1Horz">
      <w:rPr>
        <w:rFonts w:ascii="Arial" w:hAnsi="Arial"/>
        <w:color w:val="41822C" w:themeColor="accent5" w:themeShade="95"/>
        <w:sz w:val="22"/>
      </w:rPr>
      <w:tblPr/>
      <w:tcPr>
        <w:shd w:val="clear" w:color="auto" w:fill="ECF2D9" w:themeFill="accent6" w:themeFillTint="34"/>
      </w:tcPr>
    </w:tblStylePr>
    <w:tblStylePr w:type="band2Horz">
      <w:rPr>
        <w:rFonts w:ascii="Arial" w:hAnsi="Arial"/>
        <w:color w:val="41822C" w:themeColor="accent5" w:themeShade="95"/>
        <w:sz w:val="22"/>
      </w:rPr>
    </w:tblStylePr>
  </w:style>
  <w:style w:type="table" w:customStyle="1" w:styleId="TableauGrille7Couleur1">
    <w:name w:val="Tableau Grille 7 Couleur1"/>
    <w:basedOn w:val="TableauNormal"/>
    <w:uiPriority w:val="99"/>
    <w:rsid w:val="00B30EE6"/>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rsid w:val="00B30EE6"/>
    <w:pPr>
      <w:spacing w:after="0" w:line="240" w:lineRule="auto"/>
    </w:pPr>
    <w:tblPr>
      <w:tblStyleRowBandSize w:val="1"/>
      <w:tblStyleColBandSize w:val="1"/>
      <w:tblBorders>
        <w:bottom w:val="single" w:sz="4" w:space="0" w:color="74B7F4" w:themeColor="accent1" w:themeTint="80"/>
        <w:right w:val="single" w:sz="4" w:space="0" w:color="74B7F4" w:themeColor="accent1" w:themeTint="80"/>
        <w:insideH w:val="single" w:sz="4" w:space="0" w:color="74B7F4" w:themeColor="accent1" w:themeTint="80"/>
        <w:insideV w:val="single" w:sz="4" w:space="0" w:color="74B7F4" w:themeColor="accent1" w:themeTint="80"/>
      </w:tblBorders>
    </w:tblPr>
    <w:tblStylePr w:type="firstRow">
      <w:rPr>
        <w:rFonts w:ascii="Arial" w:hAnsi="Arial"/>
        <w:b/>
        <w:color w:val="74B7F4" w:themeColor="accent1" w:themeTint="80" w:themeShade="95"/>
        <w:sz w:val="22"/>
      </w:rPr>
      <w:tblPr/>
      <w:tcPr>
        <w:tcBorders>
          <w:top w:val="none" w:sz="0" w:space="0" w:color="auto"/>
          <w:left w:val="none" w:sz="0" w:space="0" w:color="auto"/>
          <w:bottom w:val="single" w:sz="4" w:space="0" w:color="74B7F4" w:themeColor="accent1" w:themeTint="80"/>
          <w:right w:val="none" w:sz="0" w:space="0" w:color="auto"/>
        </w:tcBorders>
        <w:shd w:val="clear" w:color="auto" w:fill="FFFFFF" w:themeFill="light1"/>
      </w:tcPr>
    </w:tblStylePr>
    <w:tblStylePr w:type="lastRow">
      <w:rPr>
        <w:rFonts w:ascii="Arial" w:hAnsi="Arial"/>
        <w:b/>
        <w:color w:val="74B7F4" w:themeColor="accent1" w:themeTint="80" w:themeShade="95"/>
        <w:sz w:val="22"/>
      </w:rPr>
      <w:tblPr/>
      <w:tcPr>
        <w:tcBorders>
          <w:top w:val="single" w:sz="4" w:space="0" w:color="74B7F4"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4B7F4" w:themeColor="accent1" w:themeTint="80" w:themeShade="95"/>
        <w:sz w:val="22"/>
      </w:rPr>
      <w:tblPr/>
      <w:tcPr>
        <w:tcBorders>
          <w:top w:val="none" w:sz="0" w:space="0" w:color="auto"/>
          <w:left w:val="none" w:sz="0" w:space="0" w:color="auto"/>
          <w:bottom w:val="none" w:sz="0" w:space="0" w:color="auto"/>
          <w:right w:val="single" w:sz="4" w:space="0" w:color="74B7F4" w:themeColor="accent1" w:themeTint="80"/>
        </w:tcBorders>
        <w:shd w:val="clear" w:color="auto" w:fill="FFFFFF"/>
      </w:tcPr>
    </w:tblStylePr>
    <w:tblStylePr w:type="lastCol">
      <w:rPr>
        <w:rFonts w:ascii="Arial" w:hAnsi="Arial"/>
        <w:i/>
        <w:color w:val="74B7F4" w:themeColor="accent1" w:themeTint="80" w:themeShade="95"/>
        <w:sz w:val="22"/>
      </w:rPr>
      <w:tblPr/>
      <w:tcPr>
        <w:tcBorders>
          <w:top w:val="none" w:sz="0" w:space="0" w:color="auto"/>
          <w:left w:val="single" w:sz="4" w:space="0" w:color="74B7F4" w:themeColor="accent1" w:themeTint="80"/>
          <w:bottom w:val="none" w:sz="0" w:space="0" w:color="auto"/>
          <w:right w:val="none" w:sz="0" w:space="0" w:color="auto"/>
        </w:tcBorders>
        <w:shd w:val="clear" w:color="auto" w:fill="FFFFFF"/>
      </w:tcPr>
    </w:tblStylePr>
    <w:tblStylePr w:type="band1Vert">
      <w:tblPr/>
      <w:tcPr>
        <w:shd w:val="clear" w:color="auto" w:fill="C6E1FA" w:themeFill="accent1" w:themeFillTint="34"/>
      </w:tcPr>
    </w:tblStylePr>
    <w:tblStylePr w:type="band1Horz">
      <w:rPr>
        <w:rFonts w:ascii="Arial" w:hAnsi="Arial"/>
        <w:color w:val="74B7F4" w:themeColor="accent1" w:themeTint="80" w:themeShade="95"/>
        <w:sz w:val="22"/>
      </w:rPr>
      <w:tblPr/>
      <w:tcPr>
        <w:shd w:val="clear" w:color="auto" w:fill="C6E1FA" w:themeFill="accent1" w:themeFillTint="34"/>
      </w:tcPr>
    </w:tblStylePr>
    <w:tblStylePr w:type="band2Horz">
      <w:rPr>
        <w:rFonts w:ascii="Arial" w:hAnsi="Arial"/>
        <w:color w:val="74B7F4" w:themeColor="accent1" w:themeTint="80" w:themeShade="95"/>
        <w:sz w:val="22"/>
      </w:rPr>
    </w:tblStylePr>
  </w:style>
  <w:style w:type="table" w:customStyle="1" w:styleId="GridTable7Colorful-Accent2">
    <w:name w:val="Grid Table 7 Colorful - Accent 2"/>
    <w:basedOn w:val="TableauNormal"/>
    <w:uiPriority w:val="99"/>
    <w:rsid w:val="00B30EE6"/>
    <w:pPr>
      <w:spacing w:after="0" w:line="240" w:lineRule="auto"/>
    </w:pPr>
    <w:tblPr>
      <w:tblStyleRowBandSize w:val="1"/>
      <w:tblStyleColBandSize w:val="1"/>
      <w:tblBorders>
        <w:bottom w:val="single" w:sz="4" w:space="0" w:color="51CEFF" w:themeColor="accent2" w:themeTint="97"/>
        <w:right w:val="single" w:sz="4" w:space="0" w:color="51CEFF" w:themeColor="accent2" w:themeTint="97"/>
        <w:insideH w:val="single" w:sz="4" w:space="0" w:color="51CEFF" w:themeColor="accent2" w:themeTint="97"/>
        <w:insideV w:val="single" w:sz="4" w:space="0" w:color="51CEFF" w:themeColor="accent2" w:themeTint="97"/>
      </w:tblBorders>
    </w:tblPr>
    <w:tblStylePr w:type="firstRow">
      <w:rPr>
        <w:rFonts w:ascii="Arial" w:hAnsi="Arial"/>
        <w:b/>
        <w:color w:val="51CEFF" w:themeColor="accent2" w:themeTint="97" w:themeShade="95"/>
        <w:sz w:val="22"/>
      </w:rPr>
      <w:tblPr/>
      <w:tcPr>
        <w:tcBorders>
          <w:top w:val="none" w:sz="0" w:space="0" w:color="auto"/>
          <w:left w:val="none" w:sz="0" w:space="0" w:color="auto"/>
          <w:bottom w:val="single" w:sz="4" w:space="0" w:color="51CEFF" w:themeColor="accent2" w:themeTint="97"/>
          <w:right w:val="none" w:sz="0" w:space="0" w:color="auto"/>
        </w:tcBorders>
        <w:shd w:val="clear" w:color="auto" w:fill="FFFFFF" w:themeFill="light1"/>
      </w:tcPr>
    </w:tblStylePr>
    <w:tblStylePr w:type="lastRow">
      <w:rPr>
        <w:rFonts w:ascii="Arial" w:hAnsi="Arial"/>
        <w:b/>
        <w:color w:val="51CEFF" w:themeColor="accent2" w:themeTint="97" w:themeShade="95"/>
        <w:sz w:val="22"/>
      </w:rPr>
      <w:tblPr/>
      <w:tcPr>
        <w:tcBorders>
          <w:top w:val="single" w:sz="4" w:space="0" w:color="51CEFF"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1CEFF" w:themeColor="accent2" w:themeTint="97" w:themeShade="95"/>
        <w:sz w:val="22"/>
      </w:rPr>
      <w:tblPr/>
      <w:tcPr>
        <w:tcBorders>
          <w:top w:val="none" w:sz="0" w:space="0" w:color="auto"/>
          <w:left w:val="none" w:sz="0" w:space="0" w:color="auto"/>
          <w:bottom w:val="none" w:sz="0" w:space="0" w:color="auto"/>
          <w:right w:val="single" w:sz="4" w:space="0" w:color="51CEFF" w:themeColor="accent2" w:themeTint="97"/>
        </w:tcBorders>
        <w:shd w:val="clear" w:color="auto" w:fill="FFFFFF"/>
      </w:tcPr>
    </w:tblStylePr>
    <w:tblStylePr w:type="lastCol">
      <w:rPr>
        <w:rFonts w:ascii="Arial" w:hAnsi="Arial"/>
        <w:i/>
        <w:color w:val="51CEFF" w:themeColor="accent2" w:themeTint="97" w:themeShade="95"/>
        <w:sz w:val="22"/>
      </w:rPr>
      <w:tblPr/>
      <w:tcPr>
        <w:tcBorders>
          <w:top w:val="none" w:sz="0" w:space="0" w:color="auto"/>
          <w:left w:val="single" w:sz="4" w:space="0" w:color="51CEFF" w:themeColor="accent2" w:themeTint="97"/>
          <w:bottom w:val="none" w:sz="0" w:space="0" w:color="auto"/>
          <w:right w:val="none" w:sz="0" w:space="0" w:color="auto"/>
        </w:tcBorders>
        <w:shd w:val="clear" w:color="auto" w:fill="FFFFFF"/>
      </w:tcPr>
    </w:tblStylePr>
    <w:tblStylePr w:type="band1Vert">
      <w:tblPr/>
      <w:tcPr>
        <w:shd w:val="clear" w:color="auto" w:fill="C5EEFF" w:themeFill="accent2" w:themeFillTint="32"/>
      </w:tcPr>
    </w:tblStylePr>
    <w:tblStylePr w:type="band1Horz">
      <w:rPr>
        <w:rFonts w:ascii="Arial" w:hAnsi="Arial"/>
        <w:color w:val="51CEFF" w:themeColor="accent2" w:themeTint="97" w:themeShade="95"/>
        <w:sz w:val="22"/>
      </w:rPr>
      <w:tblPr/>
      <w:tcPr>
        <w:shd w:val="clear" w:color="auto" w:fill="C5EEFF" w:themeFill="accent2" w:themeFillTint="32"/>
      </w:tcPr>
    </w:tblStylePr>
    <w:tblStylePr w:type="band2Horz">
      <w:rPr>
        <w:rFonts w:ascii="Arial" w:hAnsi="Arial"/>
        <w:color w:val="51CEFF" w:themeColor="accent2" w:themeTint="97" w:themeShade="95"/>
        <w:sz w:val="22"/>
      </w:rPr>
    </w:tblStylePr>
  </w:style>
  <w:style w:type="table" w:customStyle="1" w:styleId="GridTable7Colorful-Accent3">
    <w:name w:val="Grid Table 7 Colorful - Accent 3"/>
    <w:basedOn w:val="TableauNormal"/>
    <w:uiPriority w:val="99"/>
    <w:rsid w:val="00B30EE6"/>
    <w:pPr>
      <w:spacing w:after="0" w:line="240" w:lineRule="auto"/>
    </w:pPr>
    <w:tblPr>
      <w:tblStyleRowBandSize w:val="1"/>
      <w:tblStyleColBandSize w:val="1"/>
      <w:tblBorders>
        <w:bottom w:val="single" w:sz="4" w:space="0" w:color="0BD0D9" w:themeColor="accent3" w:themeTint="FE"/>
        <w:right w:val="single" w:sz="4" w:space="0" w:color="0BD0D9" w:themeColor="accent3" w:themeTint="FE"/>
        <w:insideH w:val="single" w:sz="4" w:space="0" w:color="0BD0D9" w:themeColor="accent3" w:themeTint="FE"/>
        <w:insideV w:val="single" w:sz="4" w:space="0" w:color="0BD0D9" w:themeColor="accent3" w:themeTint="FE"/>
      </w:tblBorders>
    </w:tblPr>
    <w:tblStylePr w:type="firstRow">
      <w:rPr>
        <w:rFonts w:ascii="Arial" w:hAnsi="Arial"/>
        <w:b/>
        <w:color w:val="0BD0D9" w:themeColor="accent3" w:themeTint="FE" w:themeShade="95"/>
        <w:sz w:val="22"/>
      </w:rPr>
      <w:tblPr/>
      <w:tcPr>
        <w:tcBorders>
          <w:top w:val="none" w:sz="0" w:space="0" w:color="auto"/>
          <w:left w:val="none" w:sz="0" w:space="0" w:color="auto"/>
          <w:bottom w:val="single" w:sz="4" w:space="0" w:color="0BD0D9" w:themeColor="accent3" w:themeTint="FE"/>
          <w:right w:val="none" w:sz="0" w:space="0" w:color="auto"/>
        </w:tcBorders>
        <w:shd w:val="clear" w:color="auto" w:fill="FFFFFF" w:themeFill="light1"/>
      </w:tcPr>
    </w:tblStylePr>
    <w:tblStylePr w:type="lastRow">
      <w:rPr>
        <w:rFonts w:ascii="Arial" w:hAnsi="Arial"/>
        <w:b/>
        <w:color w:val="0BD0D9" w:themeColor="accent3" w:themeTint="FE" w:themeShade="95"/>
        <w:sz w:val="22"/>
      </w:rPr>
      <w:tblPr/>
      <w:tcPr>
        <w:tcBorders>
          <w:top w:val="single" w:sz="4" w:space="0" w:color="0BD0D9"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BD0D9" w:themeColor="accent3" w:themeTint="FE" w:themeShade="95"/>
        <w:sz w:val="22"/>
      </w:rPr>
      <w:tblPr/>
      <w:tcPr>
        <w:tcBorders>
          <w:top w:val="none" w:sz="0" w:space="0" w:color="auto"/>
          <w:left w:val="none" w:sz="0" w:space="0" w:color="auto"/>
          <w:bottom w:val="none" w:sz="0" w:space="0" w:color="auto"/>
          <w:right w:val="single" w:sz="4" w:space="0" w:color="0BD0D9" w:themeColor="accent3" w:themeTint="FE"/>
        </w:tcBorders>
        <w:shd w:val="clear" w:color="auto" w:fill="FFFFFF"/>
      </w:tcPr>
    </w:tblStylePr>
    <w:tblStylePr w:type="lastCol">
      <w:rPr>
        <w:rFonts w:ascii="Arial" w:hAnsi="Arial"/>
        <w:i/>
        <w:color w:val="0BD0D9" w:themeColor="accent3" w:themeTint="FE" w:themeShade="95"/>
        <w:sz w:val="22"/>
      </w:rPr>
      <w:tblPr/>
      <w:tcPr>
        <w:tcBorders>
          <w:top w:val="none" w:sz="0" w:space="0" w:color="auto"/>
          <w:left w:val="single" w:sz="4" w:space="0" w:color="0BD0D9" w:themeColor="accent3" w:themeTint="FE"/>
          <w:bottom w:val="none" w:sz="0" w:space="0" w:color="auto"/>
          <w:right w:val="none" w:sz="0" w:space="0" w:color="auto"/>
        </w:tcBorders>
        <w:shd w:val="clear" w:color="auto" w:fill="FFFFFF"/>
      </w:tcPr>
    </w:tblStylePr>
    <w:tblStylePr w:type="band1Vert">
      <w:tblPr/>
      <w:tcPr>
        <w:shd w:val="clear" w:color="auto" w:fill="C8F9FC" w:themeFill="accent3" w:themeFillTint="34"/>
      </w:tcPr>
    </w:tblStylePr>
    <w:tblStylePr w:type="band1Horz">
      <w:rPr>
        <w:rFonts w:ascii="Arial" w:hAnsi="Arial"/>
        <w:color w:val="0BD0D9" w:themeColor="accent3" w:themeTint="FE" w:themeShade="95"/>
        <w:sz w:val="22"/>
      </w:rPr>
      <w:tblPr/>
      <w:tcPr>
        <w:shd w:val="clear" w:color="auto" w:fill="C8F9FC" w:themeFill="accent3" w:themeFillTint="34"/>
      </w:tcPr>
    </w:tblStylePr>
    <w:tblStylePr w:type="band2Horz">
      <w:rPr>
        <w:rFonts w:ascii="Arial" w:hAnsi="Arial"/>
        <w:color w:val="0BD0D9" w:themeColor="accent3" w:themeTint="FE" w:themeShade="95"/>
        <w:sz w:val="22"/>
      </w:rPr>
    </w:tblStylePr>
  </w:style>
  <w:style w:type="table" w:customStyle="1" w:styleId="GridTable7Colorful-Accent4">
    <w:name w:val="Grid Table 7 Colorful - Accent 4"/>
    <w:basedOn w:val="TableauNormal"/>
    <w:uiPriority w:val="99"/>
    <w:rsid w:val="00B30EE6"/>
    <w:pPr>
      <w:spacing w:after="0" w:line="240" w:lineRule="auto"/>
    </w:pPr>
    <w:tblPr>
      <w:tblStyleRowBandSize w:val="1"/>
      <w:tblStyleColBandSize w:val="1"/>
      <w:tblBorders>
        <w:bottom w:val="single" w:sz="4" w:space="0" w:color="5EF2C9" w:themeColor="accent4" w:themeTint="9A"/>
        <w:right w:val="single" w:sz="4" w:space="0" w:color="5EF2C9" w:themeColor="accent4" w:themeTint="9A"/>
        <w:insideH w:val="single" w:sz="4" w:space="0" w:color="5EF2C9" w:themeColor="accent4" w:themeTint="9A"/>
        <w:insideV w:val="single" w:sz="4" w:space="0" w:color="5EF2C9" w:themeColor="accent4" w:themeTint="9A"/>
      </w:tblBorders>
    </w:tblPr>
    <w:tblStylePr w:type="firstRow">
      <w:rPr>
        <w:rFonts w:ascii="Arial" w:hAnsi="Arial"/>
        <w:b/>
        <w:color w:val="5EF2C9" w:themeColor="accent4" w:themeTint="9A" w:themeShade="95"/>
        <w:sz w:val="22"/>
      </w:rPr>
      <w:tblPr/>
      <w:tcPr>
        <w:tcBorders>
          <w:top w:val="none" w:sz="0" w:space="0" w:color="auto"/>
          <w:left w:val="none" w:sz="0" w:space="0" w:color="auto"/>
          <w:bottom w:val="single" w:sz="4" w:space="0" w:color="5EF2C9" w:themeColor="accent4" w:themeTint="9A"/>
          <w:right w:val="none" w:sz="0" w:space="0" w:color="auto"/>
        </w:tcBorders>
        <w:shd w:val="clear" w:color="auto" w:fill="FFFFFF" w:themeFill="light1"/>
      </w:tcPr>
    </w:tblStylePr>
    <w:tblStylePr w:type="lastRow">
      <w:rPr>
        <w:rFonts w:ascii="Arial" w:hAnsi="Arial"/>
        <w:b/>
        <w:color w:val="5EF2C9" w:themeColor="accent4" w:themeTint="9A" w:themeShade="95"/>
        <w:sz w:val="22"/>
      </w:rPr>
      <w:tblPr/>
      <w:tcPr>
        <w:tcBorders>
          <w:top w:val="single" w:sz="4" w:space="0" w:color="5EF2C9"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EF2C9" w:themeColor="accent4" w:themeTint="9A" w:themeShade="95"/>
        <w:sz w:val="22"/>
      </w:rPr>
      <w:tblPr/>
      <w:tcPr>
        <w:tcBorders>
          <w:top w:val="none" w:sz="0" w:space="0" w:color="auto"/>
          <w:left w:val="none" w:sz="0" w:space="0" w:color="auto"/>
          <w:bottom w:val="none" w:sz="0" w:space="0" w:color="auto"/>
          <w:right w:val="single" w:sz="4" w:space="0" w:color="5EF2C9" w:themeColor="accent4" w:themeTint="9A"/>
        </w:tcBorders>
        <w:shd w:val="clear" w:color="auto" w:fill="FFFFFF"/>
      </w:tcPr>
    </w:tblStylePr>
    <w:tblStylePr w:type="lastCol">
      <w:rPr>
        <w:rFonts w:ascii="Arial" w:hAnsi="Arial"/>
        <w:i/>
        <w:color w:val="5EF2C9" w:themeColor="accent4" w:themeTint="9A" w:themeShade="95"/>
        <w:sz w:val="22"/>
      </w:rPr>
      <w:tblPr/>
      <w:tcPr>
        <w:tcBorders>
          <w:top w:val="none" w:sz="0" w:space="0" w:color="auto"/>
          <w:left w:val="single" w:sz="4" w:space="0" w:color="5EF2C9" w:themeColor="accent4" w:themeTint="9A"/>
          <w:bottom w:val="none" w:sz="0" w:space="0" w:color="auto"/>
          <w:right w:val="none" w:sz="0" w:space="0" w:color="auto"/>
        </w:tcBorders>
        <w:shd w:val="clear" w:color="auto" w:fill="FFFFFF"/>
      </w:tcPr>
    </w:tblStylePr>
    <w:tblStylePr w:type="band1Vert">
      <w:tblPr/>
      <w:tcPr>
        <w:shd w:val="clear" w:color="auto" w:fill="C8FAED" w:themeFill="accent4" w:themeFillTint="34"/>
      </w:tcPr>
    </w:tblStylePr>
    <w:tblStylePr w:type="band1Horz">
      <w:rPr>
        <w:rFonts w:ascii="Arial" w:hAnsi="Arial"/>
        <w:color w:val="5EF2C9" w:themeColor="accent4" w:themeTint="9A" w:themeShade="95"/>
        <w:sz w:val="22"/>
      </w:rPr>
      <w:tblPr/>
      <w:tcPr>
        <w:shd w:val="clear" w:color="auto" w:fill="C8FAED" w:themeFill="accent4" w:themeFillTint="34"/>
      </w:tcPr>
    </w:tblStylePr>
    <w:tblStylePr w:type="band2Horz">
      <w:rPr>
        <w:rFonts w:ascii="Arial" w:hAnsi="Arial"/>
        <w:color w:val="5EF2C9" w:themeColor="accent4" w:themeTint="9A" w:themeShade="95"/>
        <w:sz w:val="22"/>
      </w:rPr>
    </w:tblStylePr>
  </w:style>
  <w:style w:type="table" w:customStyle="1" w:styleId="GridTable7Colorful-Accent5">
    <w:name w:val="Grid Table 7 Colorful - Accent 5"/>
    <w:basedOn w:val="TableauNormal"/>
    <w:uiPriority w:val="99"/>
    <w:rsid w:val="00B30EE6"/>
    <w:pPr>
      <w:spacing w:after="0" w:line="240" w:lineRule="auto"/>
    </w:pPr>
    <w:tblPr>
      <w:tblStyleRowBandSize w:val="1"/>
      <w:tblStyleColBandSize w:val="1"/>
      <w:tblBorders>
        <w:bottom w:val="single" w:sz="4" w:space="0" w:color="B4E1A6" w:themeColor="accent5" w:themeTint="90"/>
        <w:right w:val="single" w:sz="4" w:space="0" w:color="B4E1A6" w:themeColor="accent5" w:themeTint="90"/>
        <w:insideH w:val="single" w:sz="4" w:space="0" w:color="B4E1A6" w:themeColor="accent5" w:themeTint="90"/>
        <w:insideV w:val="single" w:sz="4" w:space="0" w:color="B4E1A6" w:themeColor="accent5" w:themeTint="90"/>
      </w:tblBorders>
    </w:tblPr>
    <w:tblStylePr w:type="firstRow">
      <w:rPr>
        <w:rFonts w:ascii="Arial" w:hAnsi="Arial"/>
        <w:b/>
        <w:color w:val="41822C" w:themeColor="accent5" w:themeShade="95"/>
        <w:sz w:val="22"/>
      </w:rPr>
      <w:tblPr/>
      <w:tcPr>
        <w:tcBorders>
          <w:top w:val="none" w:sz="0" w:space="0" w:color="auto"/>
          <w:left w:val="none" w:sz="0" w:space="0" w:color="auto"/>
          <w:bottom w:val="single" w:sz="4" w:space="0" w:color="B4E1A6" w:themeColor="accent5" w:themeTint="90"/>
          <w:right w:val="none" w:sz="0" w:space="0" w:color="auto"/>
        </w:tcBorders>
        <w:shd w:val="clear" w:color="auto" w:fill="FFFFFF" w:themeFill="light1"/>
      </w:tcPr>
    </w:tblStylePr>
    <w:tblStylePr w:type="lastRow">
      <w:rPr>
        <w:rFonts w:ascii="Arial" w:hAnsi="Arial"/>
        <w:b/>
        <w:color w:val="41822C" w:themeColor="accent5" w:themeShade="95"/>
        <w:sz w:val="22"/>
      </w:rPr>
      <w:tblPr/>
      <w:tcPr>
        <w:tcBorders>
          <w:top w:val="single" w:sz="4" w:space="0" w:color="B4E1A6"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41822C" w:themeColor="accent5" w:themeShade="95"/>
        <w:sz w:val="22"/>
      </w:rPr>
      <w:tblPr/>
      <w:tcPr>
        <w:tcBorders>
          <w:top w:val="none" w:sz="0" w:space="0" w:color="auto"/>
          <w:left w:val="none" w:sz="0" w:space="0" w:color="auto"/>
          <w:bottom w:val="none" w:sz="0" w:space="0" w:color="auto"/>
          <w:right w:val="single" w:sz="4" w:space="0" w:color="B4E1A6" w:themeColor="accent5" w:themeTint="90"/>
        </w:tcBorders>
        <w:shd w:val="clear" w:color="auto" w:fill="FFFFFF"/>
      </w:tcPr>
    </w:tblStylePr>
    <w:tblStylePr w:type="lastCol">
      <w:rPr>
        <w:rFonts w:ascii="Arial" w:hAnsi="Arial"/>
        <w:i/>
        <w:color w:val="41822C" w:themeColor="accent5" w:themeShade="95"/>
        <w:sz w:val="22"/>
      </w:rPr>
      <w:tblPr/>
      <w:tcPr>
        <w:tcBorders>
          <w:top w:val="none" w:sz="0" w:space="0" w:color="auto"/>
          <w:left w:val="single" w:sz="4" w:space="0" w:color="B4E1A6" w:themeColor="accent5" w:themeTint="90"/>
          <w:bottom w:val="none" w:sz="0" w:space="0" w:color="auto"/>
          <w:right w:val="none" w:sz="0" w:space="0" w:color="auto"/>
        </w:tcBorders>
        <w:shd w:val="clear" w:color="auto" w:fill="FFFFFF"/>
      </w:tcPr>
    </w:tblStylePr>
    <w:tblStylePr w:type="band1Vert">
      <w:tblPr/>
      <w:tcPr>
        <w:shd w:val="clear" w:color="auto" w:fill="E4F4DE" w:themeFill="accent5" w:themeFillTint="34"/>
      </w:tcPr>
    </w:tblStylePr>
    <w:tblStylePr w:type="band1Horz">
      <w:rPr>
        <w:rFonts w:ascii="Arial" w:hAnsi="Arial"/>
        <w:color w:val="41822C" w:themeColor="accent5" w:themeShade="95"/>
        <w:sz w:val="22"/>
      </w:rPr>
      <w:tblPr/>
      <w:tcPr>
        <w:shd w:val="clear" w:color="auto" w:fill="E4F4DE" w:themeFill="accent5" w:themeFillTint="34"/>
      </w:tcPr>
    </w:tblStylePr>
    <w:tblStylePr w:type="band2Horz">
      <w:rPr>
        <w:rFonts w:ascii="Arial" w:hAnsi="Arial"/>
        <w:color w:val="41822C" w:themeColor="accent5" w:themeShade="95"/>
        <w:sz w:val="22"/>
      </w:rPr>
    </w:tblStylePr>
  </w:style>
  <w:style w:type="table" w:customStyle="1" w:styleId="GridTable7Colorful-Accent6">
    <w:name w:val="Grid Table 7 Colorful - Accent 6"/>
    <w:basedOn w:val="TableauNormal"/>
    <w:uiPriority w:val="99"/>
    <w:rsid w:val="00B30EE6"/>
    <w:pPr>
      <w:spacing w:after="0" w:line="240" w:lineRule="auto"/>
    </w:pPr>
    <w:tblPr>
      <w:tblStyleRowBandSize w:val="1"/>
      <w:tblStyleColBandSize w:val="1"/>
      <w:tblBorders>
        <w:bottom w:val="single" w:sz="4" w:space="0" w:color="CBDC98" w:themeColor="accent6" w:themeTint="90"/>
        <w:right w:val="single" w:sz="4" w:space="0" w:color="CBDC98" w:themeColor="accent6" w:themeTint="90"/>
        <w:insideH w:val="single" w:sz="4" w:space="0" w:color="CBDC98" w:themeColor="accent6" w:themeTint="90"/>
        <w:insideV w:val="single" w:sz="4" w:space="0" w:color="CBDC98" w:themeColor="accent6" w:themeTint="90"/>
      </w:tblBorders>
    </w:tblPr>
    <w:tblStylePr w:type="firstRow">
      <w:rPr>
        <w:rFonts w:ascii="Arial" w:hAnsi="Arial"/>
        <w:b/>
        <w:color w:val="617427" w:themeColor="accent6" w:themeShade="95"/>
        <w:sz w:val="22"/>
      </w:rPr>
      <w:tblPr/>
      <w:tcPr>
        <w:tcBorders>
          <w:top w:val="none" w:sz="0" w:space="0" w:color="auto"/>
          <w:left w:val="none" w:sz="0" w:space="0" w:color="auto"/>
          <w:bottom w:val="single" w:sz="4" w:space="0" w:color="CBDC98" w:themeColor="accent6" w:themeTint="90"/>
          <w:right w:val="none" w:sz="0" w:space="0" w:color="auto"/>
        </w:tcBorders>
        <w:shd w:val="clear" w:color="auto" w:fill="FFFFFF" w:themeFill="light1"/>
      </w:tcPr>
    </w:tblStylePr>
    <w:tblStylePr w:type="lastRow">
      <w:rPr>
        <w:rFonts w:ascii="Arial" w:hAnsi="Arial"/>
        <w:b/>
        <w:color w:val="617427" w:themeColor="accent6" w:themeShade="95"/>
        <w:sz w:val="22"/>
      </w:rPr>
      <w:tblPr/>
      <w:tcPr>
        <w:tcBorders>
          <w:top w:val="single" w:sz="4" w:space="0" w:color="CBDC98"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617427" w:themeColor="accent6" w:themeShade="95"/>
        <w:sz w:val="22"/>
      </w:rPr>
      <w:tblPr/>
      <w:tcPr>
        <w:tcBorders>
          <w:top w:val="none" w:sz="0" w:space="0" w:color="auto"/>
          <w:left w:val="none" w:sz="0" w:space="0" w:color="auto"/>
          <w:bottom w:val="none" w:sz="0" w:space="0" w:color="auto"/>
          <w:right w:val="single" w:sz="4" w:space="0" w:color="CBDC98" w:themeColor="accent6" w:themeTint="90"/>
        </w:tcBorders>
        <w:shd w:val="clear" w:color="auto" w:fill="FFFFFF"/>
      </w:tcPr>
    </w:tblStylePr>
    <w:tblStylePr w:type="lastCol">
      <w:rPr>
        <w:rFonts w:ascii="Arial" w:hAnsi="Arial"/>
        <w:i/>
        <w:color w:val="617427" w:themeColor="accent6" w:themeShade="95"/>
        <w:sz w:val="22"/>
      </w:rPr>
      <w:tblPr/>
      <w:tcPr>
        <w:tcBorders>
          <w:top w:val="none" w:sz="0" w:space="0" w:color="auto"/>
          <w:left w:val="single" w:sz="4" w:space="0" w:color="CBDC98" w:themeColor="accent6" w:themeTint="90"/>
          <w:bottom w:val="none" w:sz="0" w:space="0" w:color="auto"/>
          <w:right w:val="none" w:sz="0" w:space="0" w:color="auto"/>
        </w:tcBorders>
        <w:shd w:val="clear" w:color="auto" w:fill="FFFFFF"/>
      </w:tcPr>
    </w:tblStylePr>
    <w:tblStylePr w:type="band1Vert">
      <w:tblPr/>
      <w:tcPr>
        <w:shd w:val="clear" w:color="auto" w:fill="ECF2D9" w:themeFill="accent6" w:themeFillTint="34"/>
      </w:tcPr>
    </w:tblStylePr>
    <w:tblStylePr w:type="band1Horz">
      <w:rPr>
        <w:rFonts w:ascii="Arial" w:hAnsi="Arial"/>
        <w:color w:val="617427" w:themeColor="accent6" w:themeShade="95"/>
        <w:sz w:val="22"/>
      </w:rPr>
      <w:tblPr/>
      <w:tcPr>
        <w:shd w:val="clear" w:color="auto" w:fill="ECF2D9" w:themeFill="accent6" w:themeFillTint="34"/>
      </w:tcPr>
    </w:tblStylePr>
    <w:tblStylePr w:type="band2Horz">
      <w:rPr>
        <w:rFonts w:ascii="Arial" w:hAnsi="Arial"/>
        <w:color w:val="617427" w:themeColor="accent6" w:themeShade="95"/>
        <w:sz w:val="22"/>
      </w:rPr>
    </w:tblStylePr>
  </w:style>
  <w:style w:type="table" w:customStyle="1" w:styleId="TableauListe1Clair1">
    <w:name w:val="Tableau Liste 1 Clair1"/>
    <w:basedOn w:val="TableauNormal"/>
    <w:uiPriority w:val="99"/>
    <w:rsid w:val="00B30E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customStyle="1" w:styleId="ListTable1Light-Accent1">
    <w:name w:val="List Table 1 Light - Accent 1"/>
    <w:basedOn w:val="TableauNormal"/>
    <w:uiPriority w:val="99"/>
    <w:rsid w:val="00B30E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6FC6" w:themeColor="accent1"/>
          <w:right w:val="none" w:sz="4" w:space="0" w:color="000000"/>
        </w:tcBorders>
      </w:tcPr>
    </w:tblStylePr>
    <w:tblStylePr w:type="lastRow">
      <w:rPr>
        <w:b/>
        <w:color w:val="404040"/>
      </w:rPr>
      <w:tblPr/>
      <w:tcPr>
        <w:tcBorders>
          <w:top w:val="single" w:sz="4" w:space="0" w:color="0F6FC6"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9DBF9" w:themeFill="accent1" w:themeFillTint="40"/>
      </w:tcPr>
    </w:tblStylePr>
    <w:tblStylePr w:type="band1Horz">
      <w:tblPr/>
      <w:tcPr>
        <w:shd w:val="clear" w:color="auto" w:fill="B9DBF9" w:themeFill="accent1" w:themeFillTint="40"/>
      </w:tcPr>
    </w:tblStylePr>
  </w:style>
  <w:style w:type="table" w:customStyle="1" w:styleId="ListTable1Light-Accent2">
    <w:name w:val="List Table 1 Light - Accent 2"/>
    <w:basedOn w:val="TableauNormal"/>
    <w:uiPriority w:val="99"/>
    <w:rsid w:val="00B30E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9DD9" w:themeColor="accent2"/>
          <w:right w:val="none" w:sz="4" w:space="0" w:color="000000"/>
        </w:tcBorders>
      </w:tcPr>
    </w:tblStylePr>
    <w:tblStylePr w:type="lastRow">
      <w:rPr>
        <w:b/>
        <w:color w:val="404040"/>
      </w:rPr>
      <w:tblPr/>
      <w:tcPr>
        <w:tcBorders>
          <w:top w:val="single" w:sz="4" w:space="0" w:color="009DD9"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5EAFF" w:themeFill="accent2" w:themeFillTint="40"/>
      </w:tcPr>
    </w:tblStylePr>
    <w:tblStylePr w:type="band1Horz">
      <w:tblPr/>
      <w:tcPr>
        <w:shd w:val="clear" w:color="auto" w:fill="B5EAFF" w:themeFill="accent2" w:themeFillTint="40"/>
      </w:tcPr>
    </w:tblStylePr>
  </w:style>
  <w:style w:type="table" w:customStyle="1" w:styleId="ListTable1Light-Accent3">
    <w:name w:val="List Table 1 Light - Accent 3"/>
    <w:basedOn w:val="TableauNormal"/>
    <w:uiPriority w:val="99"/>
    <w:rsid w:val="00B30E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BD0D9" w:themeColor="accent3"/>
          <w:right w:val="none" w:sz="4" w:space="0" w:color="000000"/>
        </w:tcBorders>
      </w:tcPr>
    </w:tblStylePr>
    <w:tblStylePr w:type="lastRow">
      <w:rPr>
        <w:b/>
        <w:color w:val="404040"/>
      </w:rPr>
      <w:tblPr/>
      <w:tcPr>
        <w:tcBorders>
          <w:top w:val="single" w:sz="4" w:space="0" w:color="0BD0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BF8FB" w:themeFill="accent3" w:themeFillTint="40"/>
      </w:tcPr>
    </w:tblStylePr>
    <w:tblStylePr w:type="band1Horz">
      <w:tblPr/>
      <w:tcPr>
        <w:shd w:val="clear" w:color="auto" w:fill="BBF8FB" w:themeFill="accent3" w:themeFillTint="40"/>
      </w:tcPr>
    </w:tblStylePr>
  </w:style>
  <w:style w:type="table" w:customStyle="1" w:styleId="ListTable1Light-Accent4">
    <w:name w:val="List Table 1 Light - Accent 4"/>
    <w:basedOn w:val="TableauNormal"/>
    <w:uiPriority w:val="99"/>
    <w:rsid w:val="00B30E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0CF9B" w:themeColor="accent4"/>
          <w:right w:val="none" w:sz="4" w:space="0" w:color="000000"/>
        </w:tcBorders>
      </w:tcPr>
    </w:tblStylePr>
    <w:tblStylePr w:type="lastRow">
      <w:rPr>
        <w:b/>
        <w:color w:val="404040"/>
      </w:rPr>
      <w:tblPr/>
      <w:tcPr>
        <w:tcBorders>
          <w:top w:val="single" w:sz="4" w:space="0" w:color="10CF9B"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BF9E8" w:themeFill="accent4" w:themeFillTint="40"/>
      </w:tcPr>
    </w:tblStylePr>
    <w:tblStylePr w:type="band1Horz">
      <w:tblPr/>
      <w:tcPr>
        <w:shd w:val="clear" w:color="auto" w:fill="BBF9E8" w:themeFill="accent4" w:themeFillTint="40"/>
      </w:tcPr>
    </w:tblStylePr>
  </w:style>
  <w:style w:type="table" w:customStyle="1" w:styleId="ListTable1Light-Accent5">
    <w:name w:val="List Table 1 Light - Accent 5"/>
    <w:basedOn w:val="TableauNormal"/>
    <w:uiPriority w:val="99"/>
    <w:rsid w:val="00B30E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CCA62" w:themeColor="accent5"/>
          <w:right w:val="none" w:sz="4" w:space="0" w:color="000000"/>
        </w:tcBorders>
      </w:tcPr>
    </w:tblStylePr>
    <w:tblStylePr w:type="lastRow">
      <w:rPr>
        <w:b/>
        <w:color w:val="404040"/>
      </w:rPr>
      <w:tblPr/>
      <w:tcPr>
        <w:tcBorders>
          <w:top w:val="single" w:sz="4" w:space="0" w:color="7CCA62"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DF1D7" w:themeFill="accent5" w:themeFillTint="40"/>
      </w:tcPr>
    </w:tblStylePr>
    <w:tblStylePr w:type="band1Horz">
      <w:tblPr/>
      <w:tcPr>
        <w:shd w:val="clear" w:color="auto" w:fill="DDF1D7" w:themeFill="accent5" w:themeFillTint="40"/>
      </w:tcPr>
    </w:tblStylePr>
  </w:style>
  <w:style w:type="table" w:customStyle="1" w:styleId="ListTable1Light-Accent6">
    <w:name w:val="List Table 1 Light - Accent 6"/>
    <w:basedOn w:val="TableauNormal"/>
    <w:uiPriority w:val="99"/>
    <w:rsid w:val="00B30EE6"/>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C249" w:themeColor="accent6"/>
          <w:right w:val="none" w:sz="4" w:space="0" w:color="000000"/>
        </w:tcBorders>
      </w:tcPr>
    </w:tblStylePr>
    <w:tblStylePr w:type="lastRow">
      <w:rPr>
        <w:b/>
        <w:color w:val="404040"/>
      </w:rPr>
      <w:tblPr/>
      <w:tcPr>
        <w:tcBorders>
          <w:top w:val="single" w:sz="4" w:space="0" w:color="A5C249"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FD1" w:themeFill="accent6" w:themeFillTint="40"/>
      </w:tcPr>
    </w:tblStylePr>
    <w:tblStylePr w:type="band1Horz">
      <w:tblPr/>
      <w:tcPr>
        <w:shd w:val="clear" w:color="auto" w:fill="E8EFD1" w:themeFill="accent6" w:themeFillTint="40"/>
      </w:tcPr>
    </w:tblStylePr>
  </w:style>
  <w:style w:type="table" w:customStyle="1" w:styleId="TableauListe21">
    <w:name w:val="Tableau Liste 21"/>
    <w:basedOn w:val="TableauNormal"/>
    <w:uiPriority w:val="99"/>
    <w:rsid w:val="00B30EE6"/>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2-Accent1">
    <w:name w:val="List Table 2 - Accent 1"/>
    <w:basedOn w:val="TableauNormal"/>
    <w:uiPriority w:val="99"/>
    <w:rsid w:val="00B30EE6"/>
    <w:pPr>
      <w:spacing w:after="0" w:line="240" w:lineRule="auto"/>
    </w:pPr>
    <w:tblPr>
      <w:tblStyleRowBandSize w:val="1"/>
      <w:tblStyleColBandSize w:val="1"/>
      <w:tblBorders>
        <w:top w:val="single" w:sz="4" w:space="0" w:color="62AEF3" w:themeColor="accent1" w:themeTint="90"/>
        <w:bottom w:val="single" w:sz="4" w:space="0" w:color="62AEF3" w:themeColor="accent1" w:themeTint="90"/>
        <w:insideH w:val="single" w:sz="4" w:space="0" w:color="62AEF3" w:themeColor="accent1" w:themeTint="90"/>
      </w:tblBorders>
    </w:tblPr>
    <w:tblStylePr w:type="firstRow">
      <w:rPr>
        <w:rFonts w:ascii="Arial" w:hAnsi="Arial"/>
        <w:b/>
        <w:color w:val="404040"/>
        <w:sz w:val="22"/>
      </w:rPr>
      <w:tblPr/>
      <w:tcPr>
        <w:tcBorders>
          <w:top w:val="single" w:sz="4" w:space="0" w:color="62AEF3" w:themeColor="accent1" w:themeTint="90"/>
          <w:left w:val="none" w:sz="4" w:space="0" w:color="000000"/>
          <w:bottom w:val="single" w:sz="4" w:space="0" w:color="62AEF3" w:themeColor="accent1" w:themeTint="90"/>
          <w:right w:val="none" w:sz="4" w:space="0" w:color="000000"/>
        </w:tcBorders>
      </w:tcPr>
    </w:tblStylePr>
    <w:tblStylePr w:type="lastRow">
      <w:rPr>
        <w:rFonts w:ascii="Arial" w:hAnsi="Arial"/>
        <w:b/>
        <w:color w:val="404040"/>
        <w:sz w:val="22"/>
      </w:rPr>
      <w:tblPr/>
      <w:tcPr>
        <w:tcBorders>
          <w:top w:val="single" w:sz="4" w:space="0" w:color="62AEF3" w:themeColor="accent1" w:themeTint="90"/>
          <w:left w:val="none" w:sz="4" w:space="0" w:color="000000"/>
          <w:bottom w:val="single" w:sz="4" w:space="0" w:color="62AEF3"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9DBF9" w:themeFill="accent1" w:themeFillTint="40"/>
      </w:tcPr>
    </w:tblStylePr>
    <w:tblStylePr w:type="band1Horz">
      <w:rPr>
        <w:rFonts w:ascii="Arial" w:hAnsi="Arial"/>
        <w:color w:val="404040"/>
        <w:sz w:val="22"/>
      </w:rPr>
      <w:tblPr/>
      <w:tcPr>
        <w:shd w:val="clear" w:color="auto" w:fill="B9DBF9" w:themeFill="accent1" w:themeFillTint="40"/>
      </w:tcPr>
    </w:tblStylePr>
  </w:style>
  <w:style w:type="table" w:customStyle="1" w:styleId="ListTable2-Accent2">
    <w:name w:val="List Table 2 - Accent 2"/>
    <w:basedOn w:val="TableauNormal"/>
    <w:uiPriority w:val="99"/>
    <w:rsid w:val="00B30EE6"/>
    <w:pPr>
      <w:spacing w:after="0" w:line="240" w:lineRule="auto"/>
    </w:pPr>
    <w:tblPr>
      <w:tblStyleRowBandSize w:val="1"/>
      <w:tblStyleColBandSize w:val="1"/>
      <w:tblBorders>
        <w:top w:val="single" w:sz="4" w:space="0" w:color="59D0FF" w:themeColor="accent2" w:themeTint="90"/>
        <w:bottom w:val="single" w:sz="4" w:space="0" w:color="59D0FF" w:themeColor="accent2" w:themeTint="90"/>
        <w:insideH w:val="single" w:sz="4" w:space="0" w:color="59D0FF" w:themeColor="accent2" w:themeTint="90"/>
      </w:tblBorders>
    </w:tblPr>
    <w:tblStylePr w:type="firstRow">
      <w:rPr>
        <w:rFonts w:ascii="Arial" w:hAnsi="Arial"/>
        <w:b/>
        <w:color w:val="404040"/>
        <w:sz w:val="22"/>
      </w:rPr>
      <w:tblPr/>
      <w:tcPr>
        <w:tcBorders>
          <w:top w:val="single" w:sz="4" w:space="0" w:color="59D0FF" w:themeColor="accent2" w:themeTint="90"/>
          <w:left w:val="none" w:sz="4" w:space="0" w:color="000000"/>
          <w:bottom w:val="single" w:sz="4" w:space="0" w:color="59D0FF" w:themeColor="accent2" w:themeTint="90"/>
          <w:right w:val="none" w:sz="4" w:space="0" w:color="000000"/>
        </w:tcBorders>
      </w:tcPr>
    </w:tblStylePr>
    <w:tblStylePr w:type="lastRow">
      <w:rPr>
        <w:rFonts w:ascii="Arial" w:hAnsi="Arial"/>
        <w:b/>
        <w:color w:val="404040"/>
        <w:sz w:val="22"/>
      </w:rPr>
      <w:tblPr/>
      <w:tcPr>
        <w:tcBorders>
          <w:top w:val="single" w:sz="4" w:space="0" w:color="59D0FF" w:themeColor="accent2" w:themeTint="90"/>
          <w:left w:val="none" w:sz="4" w:space="0" w:color="000000"/>
          <w:bottom w:val="single" w:sz="4" w:space="0" w:color="59D0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5EAFF" w:themeFill="accent2" w:themeFillTint="40"/>
      </w:tcPr>
    </w:tblStylePr>
    <w:tblStylePr w:type="band1Horz">
      <w:rPr>
        <w:rFonts w:ascii="Arial" w:hAnsi="Arial"/>
        <w:color w:val="404040"/>
        <w:sz w:val="22"/>
      </w:rPr>
      <w:tblPr/>
      <w:tcPr>
        <w:shd w:val="clear" w:color="auto" w:fill="B5EAFF" w:themeFill="accent2" w:themeFillTint="40"/>
      </w:tcPr>
    </w:tblStylePr>
  </w:style>
  <w:style w:type="table" w:customStyle="1" w:styleId="ListTable2-Accent3">
    <w:name w:val="List Table 2 - Accent 3"/>
    <w:basedOn w:val="TableauNormal"/>
    <w:uiPriority w:val="99"/>
    <w:rsid w:val="00B30EE6"/>
    <w:pPr>
      <w:spacing w:after="0" w:line="240" w:lineRule="auto"/>
    </w:pPr>
    <w:tblPr>
      <w:tblStyleRowBandSize w:val="1"/>
      <w:tblStyleColBandSize w:val="1"/>
      <w:tblBorders>
        <w:top w:val="single" w:sz="4" w:space="0" w:color="67F0F7" w:themeColor="accent3" w:themeTint="90"/>
        <w:bottom w:val="single" w:sz="4" w:space="0" w:color="67F0F7" w:themeColor="accent3" w:themeTint="90"/>
        <w:insideH w:val="single" w:sz="4" w:space="0" w:color="67F0F7" w:themeColor="accent3" w:themeTint="90"/>
      </w:tblBorders>
    </w:tblPr>
    <w:tblStylePr w:type="firstRow">
      <w:rPr>
        <w:rFonts w:ascii="Arial" w:hAnsi="Arial"/>
        <w:b/>
        <w:color w:val="404040"/>
        <w:sz w:val="22"/>
      </w:rPr>
      <w:tblPr/>
      <w:tcPr>
        <w:tcBorders>
          <w:top w:val="single" w:sz="4" w:space="0" w:color="67F0F7" w:themeColor="accent3" w:themeTint="90"/>
          <w:left w:val="none" w:sz="4" w:space="0" w:color="000000"/>
          <w:bottom w:val="single" w:sz="4" w:space="0" w:color="67F0F7" w:themeColor="accent3" w:themeTint="90"/>
          <w:right w:val="none" w:sz="4" w:space="0" w:color="000000"/>
        </w:tcBorders>
      </w:tcPr>
    </w:tblStylePr>
    <w:tblStylePr w:type="lastRow">
      <w:rPr>
        <w:rFonts w:ascii="Arial" w:hAnsi="Arial"/>
        <w:b/>
        <w:color w:val="404040"/>
        <w:sz w:val="22"/>
      </w:rPr>
      <w:tblPr/>
      <w:tcPr>
        <w:tcBorders>
          <w:top w:val="single" w:sz="4" w:space="0" w:color="67F0F7" w:themeColor="accent3" w:themeTint="90"/>
          <w:left w:val="none" w:sz="4" w:space="0" w:color="000000"/>
          <w:bottom w:val="single" w:sz="4" w:space="0" w:color="67F0F7"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BF8FB" w:themeFill="accent3" w:themeFillTint="40"/>
      </w:tcPr>
    </w:tblStylePr>
    <w:tblStylePr w:type="band1Horz">
      <w:rPr>
        <w:rFonts w:ascii="Arial" w:hAnsi="Arial"/>
        <w:color w:val="404040"/>
        <w:sz w:val="22"/>
      </w:rPr>
      <w:tblPr/>
      <w:tcPr>
        <w:shd w:val="clear" w:color="auto" w:fill="BBF8FB" w:themeFill="accent3" w:themeFillTint="40"/>
      </w:tcPr>
    </w:tblStylePr>
  </w:style>
  <w:style w:type="table" w:customStyle="1" w:styleId="ListTable2-Accent4">
    <w:name w:val="List Table 2 - Accent 4"/>
    <w:basedOn w:val="TableauNormal"/>
    <w:uiPriority w:val="99"/>
    <w:rsid w:val="00B30EE6"/>
    <w:pPr>
      <w:spacing w:after="0" w:line="240" w:lineRule="auto"/>
    </w:pPr>
    <w:tblPr>
      <w:tblStyleRowBandSize w:val="1"/>
      <w:tblStyleColBandSize w:val="1"/>
      <w:tblBorders>
        <w:top w:val="single" w:sz="4" w:space="0" w:color="68F3CD" w:themeColor="accent4" w:themeTint="90"/>
        <w:bottom w:val="single" w:sz="4" w:space="0" w:color="68F3CD" w:themeColor="accent4" w:themeTint="90"/>
        <w:insideH w:val="single" w:sz="4" w:space="0" w:color="68F3CD" w:themeColor="accent4" w:themeTint="90"/>
      </w:tblBorders>
    </w:tblPr>
    <w:tblStylePr w:type="firstRow">
      <w:rPr>
        <w:rFonts w:ascii="Arial" w:hAnsi="Arial"/>
        <w:b/>
        <w:color w:val="404040"/>
        <w:sz w:val="22"/>
      </w:rPr>
      <w:tblPr/>
      <w:tcPr>
        <w:tcBorders>
          <w:top w:val="single" w:sz="4" w:space="0" w:color="68F3CD" w:themeColor="accent4" w:themeTint="90"/>
          <w:left w:val="none" w:sz="4" w:space="0" w:color="000000"/>
          <w:bottom w:val="single" w:sz="4" w:space="0" w:color="68F3CD" w:themeColor="accent4" w:themeTint="90"/>
          <w:right w:val="none" w:sz="4" w:space="0" w:color="000000"/>
        </w:tcBorders>
      </w:tcPr>
    </w:tblStylePr>
    <w:tblStylePr w:type="lastRow">
      <w:rPr>
        <w:rFonts w:ascii="Arial" w:hAnsi="Arial"/>
        <w:b/>
        <w:color w:val="404040"/>
        <w:sz w:val="22"/>
      </w:rPr>
      <w:tblPr/>
      <w:tcPr>
        <w:tcBorders>
          <w:top w:val="single" w:sz="4" w:space="0" w:color="68F3CD" w:themeColor="accent4" w:themeTint="90"/>
          <w:left w:val="none" w:sz="4" w:space="0" w:color="000000"/>
          <w:bottom w:val="single" w:sz="4" w:space="0" w:color="68F3CD"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BF9E8" w:themeFill="accent4" w:themeFillTint="40"/>
      </w:tcPr>
    </w:tblStylePr>
    <w:tblStylePr w:type="band1Horz">
      <w:rPr>
        <w:rFonts w:ascii="Arial" w:hAnsi="Arial"/>
        <w:color w:val="404040"/>
        <w:sz w:val="22"/>
      </w:rPr>
      <w:tblPr/>
      <w:tcPr>
        <w:shd w:val="clear" w:color="auto" w:fill="BBF9E8" w:themeFill="accent4" w:themeFillTint="40"/>
      </w:tcPr>
    </w:tblStylePr>
  </w:style>
  <w:style w:type="table" w:customStyle="1" w:styleId="ListTable2-Accent5">
    <w:name w:val="List Table 2 - Accent 5"/>
    <w:basedOn w:val="TableauNormal"/>
    <w:uiPriority w:val="99"/>
    <w:rsid w:val="00B30EE6"/>
    <w:pPr>
      <w:spacing w:after="0" w:line="240" w:lineRule="auto"/>
    </w:pPr>
    <w:tblPr>
      <w:tblStyleRowBandSize w:val="1"/>
      <w:tblStyleColBandSize w:val="1"/>
      <w:tblBorders>
        <w:top w:val="single" w:sz="4" w:space="0" w:color="B4E1A6" w:themeColor="accent5" w:themeTint="90"/>
        <w:bottom w:val="single" w:sz="4" w:space="0" w:color="B4E1A6" w:themeColor="accent5" w:themeTint="90"/>
        <w:insideH w:val="single" w:sz="4" w:space="0" w:color="B4E1A6" w:themeColor="accent5" w:themeTint="90"/>
      </w:tblBorders>
    </w:tblPr>
    <w:tblStylePr w:type="firstRow">
      <w:rPr>
        <w:rFonts w:ascii="Arial" w:hAnsi="Arial"/>
        <w:b/>
        <w:color w:val="404040"/>
        <w:sz w:val="22"/>
      </w:rPr>
      <w:tblPr/>
      <w:tcPr>
        <w:tcBorders>
          <w:top w:val="single" w:sz="4" w:space="0" w:color="B4E1A6" w:themeColor="accent5" w:themeTint="90"/>
          <w:left w:val="none" w:sz="4" w:space="0" w:color="000000"/>
          <w:bottom w:val="single" w:sz="4" w:space="0" w:color="B4E1A6" w:themeColor="accent5" w:themeTint="90"/>
          <w:right w:val="none" w:sz="4" w:space="0" w:color="000000"/>
        </w:tcBorders>
      </w:tcPr>
    </w:tblStylePr>
    <w:tblStylePr w:type="lastRow">
      <w:rPr>
        <w:rFonts w:ascii="Arial" w:hAnsi="Arial"/>
        <w:b/>
        <w:color w:val="404040"/>
        <w:sz w:val="22"/>
      </w:rPr>
      <w:tblPr/>
      <w:tcPr>
        <w:tcBorders>
          <w:top w:val="single" w:sz="4" w:space="0" w:color="B4E1A6" w:themeColor="accent5" w:themeTint="90"/>
          <w:left w:val="none" w:sz="4" w:space="0" w:color="000000"/>
          <w:bottom w:val="single" w:sz="4" w:space="0" w:color="B4E1A6"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DF1D7" w:themeFill="accent5" w:themeFillTint="40"/>
      </w:tcPr>
    </w:tblStylePr>
    <w:tblStylePr w:type="band1Horz">
      <w:rPr>
        <w:rFonts w:ascii="Arial" w:hAnsi="Arial"/>
        <w:color w:val="404040"/>
        <w:sz w:val="22"/>
      </w:rPr>
      <w:tblPr/>
      <w:tcPr>
        <w:shd w:val="clear" w:color="auto" w:fill="DDF1D7" w:themeFill="accent5" w:themeFillTint="40"/>
      </w:tcPr>
    </w:tblStylePr>
  </w:style>
  <w:style w:type="table" w:customStyle="1" w:styleId="ListTable2-Accent6">
    <w:name w:val="List Table 2 - Accent 6"/>
    <w:basedOn w:val="TableauNormal"/>
    <w:uiPriority w:val="99"/>
    <w:rsid w:val="00B30EE6"/>
    <w:pPr>
      <w:spacing w:after="0" w:line="240" w:lineRule="auto"/>
    </w:pPr>
    <w:tblPr>
      <w:tblStyleRowBandSize w:val="1"/>
      <w:tblStyleColBandSize w:val="1"/>
      <w:tblBorders>
        <w:top w:val="single" w:sz="4" w:space="0" w:color="CBDC98" w:themeColor="accent6" w:themeTint="90"/>
        <w:bottom w:val="single" w:sz="4" w:space="0" w:color="CBDC98" w:themeColor="accent6" w:themeTint="90"/>
        <w:insideH w:val="single" w:sz="4" w:space="0" w:color="CBDC98" w:themeColor="accent6" w:themeTint="90"/>
      </w:tblBorders>
    </w:tblPr>
    <w:tblStylePr w:type="firstRow">
      <w:rPr>
        <w:rFonts w:ascii="Arial" w:hAnsi="Arial"/>
        <w:b/>
        <w:color w:val="404040"/>
        <w:sz w:val="22"/>
      </w:rPr>
      <w:tblPr/>
      <w:tcPr>
        <w:tcBorders>
          <w:top w:val="single" w:sz="4" w:space="0" w:color="CBDC98" w:themeColor="accent6" w:themeTint="90"/>
          <w:left w:val="none" w:sz="4" w:space="0" w:color="000000"/>
          <w:bottom w:val="single" w:sz="4" w:space="0" w:color="CBDC98" w:themeColor="accent6" w:themeTint="90"/>
          <w:right w:val="none" w:sz="4" w:space="0" w:color="000000"/>
        </w:tcBorders>
      </w:tcPr>
    </w:tblStylePr>
    <w:tblStylePr w:type="lastRow">
      <w:rPr>
        <w:rFonts w:ascii="Arial" w:hAnsi="Arial"/>
        <w:b/>
        <w:color w:val="404040"/>
        <w:sz w:val="22"/>
      </w:rPr>
      <w:tblPr/>
      <w:tcPr>
        <w:tcBorders>
          <w:top w:val="single" w:sz="4" w:space="0" w:color="CBDC98" w:themeColor="accent6" w:themeTint="90"/>
          <w:left w:val="none" w:sz="4" w:space="0" w:color="000000"/>
          <w:bottom w:val="single" w:sz="4" w:space="0" w:color="CBDC98"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FD1" w:themeFill="accent6" w:themeFillTint="40"/>
      </w:tcPr>
    </w:tblStylePr>
    <w:tblStylePr w:type="band1Horz">
      <w:rPr>
        <w:rFonts w:ascii="Arial" w:hAnsi="Arial"/>
        <w:color w:val="404040"/>
        <w:sz w:val="22"/>
      </w:rPr>
      <w:tblPr/>
      <w:tcPr>
        <w:shd w:val="clear" w:color="auto" w:fill="E8EFD1" w:themeFill="accent6" w:themeFillTint="40"/>
      </w:tcPr>
    </w:tblStylePr>
  </w:style>
  <w:style w:type="table" w:customStyle="1" w:styleId="TableauListe31">
    <w:name w:val="Tableau Liste 31"/>
    <w:basedOn w:val="TableauNormal"/>
    <w:uiPriority w:val="99"/>
    <w:rsid w:val="00B30E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rsid w:val="00B30EE6"/>
    <w:pPr>
      <w:spacing w:after="0" w:line="240" w:lineRule="auto"/>
    </w:pPr>
    <w:tblPr>
      <w:tblStyleRowBandSize w:val="1"/>
      <w:tblStyleColBandSize w:val="1"/>
      <w:tblBorders>
        <w:top w:val="single" w:sz="4" w:space="0" w:color="0F6FC6" w:themeColor="accent1"/>
        <w:left w:val="single" w:sz="4" w:space="0" w:color="0F6FC6" w:themeColor="accent1"/>
        <w:bottom w:val="single" w:sz="4" w:space="0" w:color="0F6FC6" w:themeColor="accent1"/>
        <w:right w:val="single" w:sz="4" w:space="0" w:color="0F6FC6" w:themeColor="accent1"/>
      </w:tblBorders>
    </w:tblPr>
    <w:tblStylePr w:type="firstRow">
      <w:rPr>
        <w:rFonts w:ascii="Arial" w:hAnsi="Arial"/>
        <w:b/>
        <w:color w:val="FFFFFF"/>
        <w:sz w:val="22"/>
      </w:rPr>
      <w:tblPr/>
      <w:tcPr>
        <w:shd w:val="clear" w:color="auto" w:fill="0F6FC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F6FC6" w:themeColor="accent1"/>
          <w:right w:val="single" w:sz="4" w:space="0" w:color="0F6FC6" w:themeColor="accent1"/>
        </w:tcBorders>
      </w:tcPr>
    </w:tblStylePr>
    <w:tblStylePr w:type="band1Horz">
      <w:rPr>
        <w:rFonts w:ascii="Arial" w:hAnsi="Arial"/>
        <w:color w:val="404040"/>
        <w:sz w:val="22"/>
      </w:rPr>
      <w:tblPr/>
      <w:tcPr>
        <w:tcBorders>
          <w:top w:val="single" w:sz="4" w:space="0" w:color="0F6FC6" w:themeColor="accent1"/>
          <w:bottom w:val="single" w:sz="4" w:space="0" w:color="0F6FC6" w:themeColor="accent1"/>
        </w:tcBorders>
      </w:tcPr>
    </w:tblStylePr>
  </w:style>
  <w:style w:type="table" w:customStyle="1" w:styleId="ListTable3-Accent2">
    <w:name w:val="List Table 3 - Accent 2"/>
    <w:basedOn w:val="TableauNormal"/>
    <w:uiPriority w:val="99"/>
    <w:rsid w:val="00B30EE6"/>
    <w:pPr>
      <w:spacing w:after="0" w:line="240" w:lineRule="auto"/>
    </w:pPr>
    <w:tblPr>
      <w:tblStyleRowBandSize w:val="1"/>
      <w:tblStyleColBandSize w:val="1"/>
      <w:tblBorders>
        <w:top w:val="single" w:sz="4" w:space="0" w:color="51CEFF" w:themeColor="accent2" w:themeTint="97"/>
        <w:left w:val="single" w:sz="4" w:space="0" w:color="51CEFF" w:themeColor="accent2" w:themeTint="97"/>
        <w:bottom w:val="single" w:sz="4" w:space="0" w:color="51CEFF" w:themeColor="accent2" w:themeTint="97"/>
        <w:right w:val="single" w:sz="4" w:space="0" w:color="51CEFF" w:themeColor="accent2" w:themeTint="97"/>
      </w:tblBorders>
    </w:tblPr>
    <w:tblStylePr w:type="firstRow">
      <w:rPr>
        <w:rFonts w:ascii="Arial" w:hAnsi="Arial"/>
        <w:b/>
        <w:color w:val="FFFFFF"/>
        <w:sz w:val="22"/>
      </w:rPr>
      <w:tblPr/>
      <w:tcPr>
        <w:shd w:val="clear" w:color="auto" w:fill="51CE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1CEFF" w:themeColor="accent2" w:themeTint="97"/>
          <w:right w:val="single" w:sz="4" w:space="0" w:color="51CEFF" w:themeColor="accent2" w:themeTint="97"/>
        </w:tcBorders>
      </w:tcPr>
    </w:tblStylePr>
    <w:tblStylePr w:type="band1Horz">
      <w:rPr>
        <w:rFonts w:ascii="Arial" w:hAnsi="Arial"/>
        <w:color w:val="404040"/>
        <w:sz w:val="22"/>
      </w:rPr>
      <w:tblPr/>
      <w:tcPr>
        <w:tcBorders>
          <w:top w:val="single" w:sz="4" w:space="0" w:color="51CEFF" w:themeColor="accent2" w:themeTint="97"/>
          <w:bottom w:val="single" w:sz="4" w:space="0" w:color="51CEFF" w:themeColor="accent2" w:themeTint="97"/>
        </w:tcBorders>
      </w:tcPr>
    </w:tblStylePr>
  </w:style>
  <w:style w:type="table" w:customStyle="1" w:styleId="ListTable3-Accent3">
    <w:name w:val="List Table 3 - Accent 3"/>
    <w:basedOn w:val="TableauNormal"/>
    <w:uiPriority w:val="99"/>
    <w:rsid w:val="00B30EE6"/>
    <w:pPr>
      <w:spacing w:after="0" w:line="240" w:lineRule="auto"/>
    </w:pPr>
    <w:tblPr>
      <w:tblStyleRowBandSize w:val="1"/>
      <w:tblStyleColBandSize w:val="1"/>
      <w:tblBorders>
        <w:top w:val="single" w:sz="4" w:space="0" w:color="5EEFF7" w:themeColor="accent3" w:themeTint="98"/>
        <w:left w:val="single" w:sz="4" w:space="0" w:color="5EEFF7" w:themeColor="accent3" w:themeTint="98"/>
        <w:bottom w:val="single" w:sz="4" w:space="0" w:color="5EEFF7" w:themeColor="accent3" w:themeTint="98"/>
        <w:right w:val="single" w:sz="4" w:space="0" w:color="5EEFF7" w:themeColor="accent3" w:themeTint="98"/>
      </w:tblBorders>
    </w:tblPr>
    <w:tblStylePr w:type="firstRow">
      <w:rPr>
        <w:rFonts w:ascii="Arial" w:hAnsi="Arial"/>
        <w:b/>
        <w:color w:val="FFFFFF"/>
        <w:sz w:val="22"/>
      </w:rPr>
      <w:tblPr/>
      <w:tcPr>
        <w:shd w:val="clear" w:color="auto" w:fill="5EEFF7"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EEFF7" w:themeColor="accent3" w:themeTint="98"/>
          <w:right w:val="single" w:sz="4" w:space="0" w:color="5EEFF7" w:themeColor="accent3" w:themeTint="98"/>
        </w:tcBorders>
      </w:tcPr>
    </w:tblStylePr>
    <w:tblStylePr w:type="band1Horz">
      <w:rPr>
        <w:rFonts w:ascii="Arial" w:hAnsi="Arial"/>
        <w:color w:val="404040"/>
        <w:sz w:val="22"/>
      </w:rPr>
      <w:tblPr/>
      <w:tcPr>
        <w:tcBorders>
          <w:top w:val="single" w:sz="4" w:space="0" w:color="5EEFF7" w:themeColor="accent3" w:themeTint="98"/>
          <w:bottom w:val="single" w:sz="4" w:space="0" w:color="5EEFF7" w:themeColor="accent3" w:themeTint="98"/>
        </w:tcBorders>
      </w:tcPr>
    </w:tblStylePr>
  </w:style>
  <w:style w:type="table" w:customStyle="1" w:styleId="ListTable3-Accent4">
    <w:name w:val="List Table 3 - Accent 4"/>
    <w:basedOn w:val="TableauNormal"/>
    <w:uiPriority w:val="99"/>
    <w:rsid w:val="00B30EE6"/>
    <w:pPr>
      <w:spacing w:after="0" w:line="240" w:lineRule="auto"/>
    </w:pPr>
    <w:tblPr>
      <w:tblStyleRowBandSize w:val="1"/>
      <w:tblStyleColBandSize w:val="1"/>
      <w:tblBorders>
        <w:top w:val="single" w:sz="4" w:space="0" w:color="5EF2C9" w:themeColor="accent4" w:themeTint="9A"/>
        <w:left w:val="single" w:sz="4" w:space="0" w:color="5EF2C9" w:themeColor="accent4" w:themeTint="9A"/>
        <w:bottom w:val="single" w:sz="4" w:space="0" w:color="5EF2C9" w:themeColor="accent4" w:themeTint="9A"/>
        <w:right w:val="single" w:sz="4" w:space="0" w:color="5EF2C9" w:themeColor="accent4" w:themeTint="9A"/>
      </w:tblBorders>
    </w:tblPr>
    <w:tblStylePr w:type="firstRow">
      <w:rPr>
        <w:rFonts w:ascii="Arial" w:hAnsi="Arial"/>
        <w:b/>
        <w:color w:val="FFFFFF"/>
        <w:sz w:val="22"/>
      </w:rPr>
      <w:tblPr/>
      <w:tcPr>
        <w:shd w:val="clear" w:color="auto" w:fill="5EF2C9"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EF2C9" w:themeColor="accent4" w:themeTint="9A"/>
          <w:right w:val="single" w:sz="4" w:space="0" w:color="5EF2C9" w:themeColor="accent4" w:themeTint="9A"/>
        </w:tcBorders>
      </w:tcPr>
    </w:tblStylePr>
    <w:tblStylePr w:type="band1Horz">
      <w:rPr>
        <w:rFonts w:ascii="Arial" w:hAnsi="Arial"/>
        <w:color w:val="404040"/>
        <w:sz w:val="22"/>
      </w:rPr>
      <w:tblPr/>
      <w:tcPr>
        <w:tcBorders>
          <w:top w:val="single" w:sz="4" w:space="0" w:color="5EF2C9" w:themeColor="accent4" w:themeTint="9A"/>
          <w:bottom w:val="single" w:sz="4" w:space="0" w:color="5EF2C9" w:themeColor="accent4" w:themeTint="9A"/>
        </w:tcBorders>
      </w:tcPr>
    </w:tblStylePr>
  </w:style>
  <w:style w:type="table" w:customStyle="1" w:styleId="ListTable3-Accent5">
    <w:name w:val="List Table 3 - Accent 5"/>
    <w:basedOn w:val="TableauNormal"/>
    <w:uiPriority w:val="99"/>
    <w:rsid w:val="00B30EE6"/>
    <w:pPr>
      <w:spacing w:after="0" w:line="240" w:lineRule="auto"/>
    </w:pPr>
    <w:tblPr>
      <w:tblStyleRowBandSize w:val="1"/>
      <w:tblStyleColBandSize w:val="1"/>
      <w:tblBorders>
        <w:top w:val="single" w:sz="4" w:space="0" w:color="AFDFA0" w:themeColor="accent5" w:themeTint="9A"/>
        <w:left w:val="single" w:sz="4" w:space="0" w:color="AFDFA0" w:themeColor="accent5" w:themeTint="9A"/>
        <w:bottom w:val="single" w:sz="4" w:space="0" w:color="AFDFA0" w:themeColor="accent5" w:themeTint="9A"/>
        <w:right w:val="single" w:sz="4" w:space="0" w:color="AFDFA0" w:themeColor="accent5" w:themeTint="9A"/>
      </w:tblBorders>
    </w:tblPr>
    <w:tblStylePr w:type="firstRow">
      <w:rPr>
        <w:rFonts w:ascii="Arial" w:hAnsi="Arial"/>
        <w:b/>
        <w:color w:val="FFFFFF"/>
        <w:sz w:val="22"/>
      </w:rPr>
      <w:tblPr/>
      <w:tcPr>
        <w:shd w:val="clear" w:color="auto" w:fill="AFDFA0"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FDFA0" w:themeColor="accent5" w:themeTint="9A"/>
          <w:right w:val="single" w:sz="4" w:space="0" w:color="AFDFA0" w:themeColor="accent5" w:themeTint="9A"/>
        </w:tcBorders>
      </w:tcPr>
    </w:tblStylePr>
    <w:tblStylePr w:type="band1Horz">
      <w:rPr>
        <w:rFonts w:ascii="Arial" w:hAnsi="Arial"/>
        <w:color w:val="404040"/>
        <w:sz w:val="22"/>
      </w:rPr>
      <w:tblPr/>
      <w:tcPr>
        <w:tcBorders>
          <w:top w:val="single" w:sz="4" w:space="0" w:color="AFDFA0" w:themeColor="accent5" w:themeTint="9A"/>
          <w:bottom w:val="single" w:sz="4" w:space="0" w:color="AFDFA0" w:themeColor="accent5" w:themeTint="9A"/>
        </w:tcBorders>
      </w:tcPr>
    </w:tblStylePr>
  </w:style>
  <w:style w:type="table" w:customStyle="1" w:styleId="ListTable3-Accent6">
    <w:name w:val="List Table 3 - Accent 6"/>
    <w:basedOn w:val="TableauNormal"/>
    <w:uiPriority w:val="99"/>
    <w:rsid w:val="00B30EE6"/>
    <w:pPr>
      <w:spacing w:after="0" w:line="240" w:lineRule="auto"/>
    </w:pPr>
    <w:tblPr>
      <w:tblStyleRowBandSize w:val="1"/>
      <w:tblStyleColBandSize w:val="1"/>
      <w:tblBorders>
        <w:top w:val="single" w:sz="4" w:space="0" w:color="C9DA92" w:themeColor="accent6" w:themeTint="98"/>
        <w:left w:val="single" w:sz="4" w:space="0" w:color="C9DA92" w:themeColor="accent6" w:themeTint="98"/>
        <w:bottom w:val="single" w:sz="4" w:space="0" w:color="C9DA92" w:themeColor="accent6" w:themeTint="98"/>
        <w:right w:val="single" w:sz="4" w:space="0" w:color="C9DA92" w:themeColor="accent6" w:themeTint="98"/>
      </w:tblBorders>
    </w:tblPr>
    <w:tblStylePr w:type="firstRow">
      <w:rPr>
        <w:rFonts w:ascii="Arial" w:hAnsi="Arial"/>
        <w:b/>
        <w:color w:val="FFFFFF"/>
        <w:sz w:val="22"/>
      </w:rPr>
      <w:tblPr/>
      <w:tcPr>
        <w:shd w:val="clear" w:color="auto" w:fill="C9DA9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DA92" w:themeColor="accent6" w:themeTint="98"/>
          <w:right w:val="single" w:sz="4" w:space="0" w:color="C9DA92" w:themeColor="accent6" w:themeTint="98"/>
        </w:tcBorders>
      </w:tcPr>
    </w:tblStylePr>
    <w:tblStylePr w:type="band1Horz">
      <w:rPr>
        <w:rFonts w:ascii="Arial" w:hAnsi="Arial"/>
        <w:color w:val="404040"/>
        <w:sz w:val="22"/>
      </w:rPr>
      <w:tblPr/>
      <w:tcPr>
        <w:tcBorders>
          <w:top w:val="single" w:sz="4" w:space="0" w:color="C9DA92" w:themeColor="accent6" w:themeTint="98"/>
          <w:bottom w:val="single" w:sz="4" w:space="0" w:color="C9DA92" w:themeColor="accent6" w:themeTint="98"/>
        </w:tcBorders>
      </w:tcPr>
    </w:tblStylePr>
  </w:style>
  <w:style w:type="table" w:customStyle="1" w:styleId="TableauListe41">
    <w:name w:val="Tableau Liste 41"/>
    <w:basedOn w:val="TableauNormal"/>
    <w:uiPriority w:val="99"/>
    <w:rsid w:val="00B30EE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customStyle="1" w:styleId="ListTable4-Accent1">
    <w:name w:val="List Table 4 - Accent 1"/>
    <w:basedOn w:val="TableauNormal"/>
    <w:uiPriority w:val="99"/>
    <w:rsid w:val="00B30EE6"/>
    <w:pPr>
      <w:spacing w:after="0" w:line="240" w:lineRule="auto"/>
    </w:pPr>
    <w:tblPr>
      <w:tblStyleRowBandSize w:val="1"/>
      <w:tblStyleColBandSize w:val="1"/>
      <w:tblBorders>
        <w:top w:val="single" w:sz="4" w:space="0" w:color="62AEF3" w:themeColor="accent1" w:themeTint="90"/>
        <w:left w:val="single" w:sz="4" w:space="0" w:color="62AEF3" w:themeColor="accent1" w:themeTint="90"/>
        <w:bottom w:val="single" w:sz="4" w:space="0" w:color="62AEF3" w:themeColor="accent1" w:themeTint="90"/>
        <w:right w:val="single" w:sz="4" w:space="0" w:color="62AEF3" w:themeColor="accent1" w:themeTint="90"/>
        <w:insideH w:val="single" w:sz="4" w:space="0" w:color="62AEF3" w:themeColor="accent1" w:themeTint="90"/>
      </w:tblBorders>
    </w:tblPr>
    <w:tblStylePr w:type="firstRow">
      <w:rPr>
        <w:rFonts w:ascii="Arial" w:hAnsi="Arial"/>
        <w:b/>
        <w:color w:val="FFFFFF"/>
        <w:sz w:val="22"/>
      </w:rPr>
      <w:tblPr/>
      <w:tcPr>
        <w:shd w:val="clear" w:color="auto" w:fill="0F6FC6"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DBF9" w:themeFill="accent1" w:themeFillTint="40"/>
      </w:tcPr>
    </w:tblStylePr>
    <w:tblStylePr w:type="band1Horz">
      <w:rPr>
        <w:rFonts w:ascii="Arial" w:hAnsi="Arial"/>
        <w:color w:val="404040"/>
        <w:sz w:val="22"/>
      </w:rPr>
      <w:tblPr/>
      <w:tcPr>
        <w:shd w:val="clear" w:color="auto" w:fill="B9DBF9" w:themeFill="accent1" w:themeFillTint="40"/>
      </w:tcPr>
    </w:tblStylePr>
  </w:style>
  <w:style w:type="table" w:customStyle="1" w:styleId="ListTable4-Accent2">
    <w:name w:val="List Table 4 - Accent 2"/>
    <w:basedOn w:val="TableauNormal"/>
    <w:uiPriority w:val="99"/>
    <w:rsid w:val="00B30EE6"/>
    <w:pPr>
      <w:spacing w:after="0" w:line="240" w:lineRule="auto"/>
    </w:pPr>
    <w:tblPr>
      <w:tblStyleRowBandSize w:val="1"/>
      <w:tblStyleColBandSize w:val="1"/>
      <w:tblBorders>
        <w:top w:val="single" w:sz="4" w:space="0" w:color="59D0FF" w:themeColor="accent2" w:themeTint="90"/>
        <w:left w:val="single" w:sz="4" w:space="0" w:color="59D0FF" w:themeColor="accent2" w:themeTint="90"/>
        <w:bottom w:val="single" w:sz="4" w:space="0" w:color="59D0FF" w:themeColor="accent2" w:themeTint="90"/>
        <w:right w:val="single" w:sz="4" w:space="0" w:color="59D0FF" w:themeColor="accent2" w:themeTint="90"/>
        <w:insideH w:val="single" w:sz="4" w:space="0" w:color="59D0FF" w:themeColor="accent2" w:themeTint="90"/>
      </w:tblBorders>
    </w:tblPr>
    <w:tblStylePr w:type="firstRow">
      <w:rPr>
        <w:rFonts w:ascii="Arial" w:hAnsi="Arial"/>
        <w:b/>
        <w:color w:val="FFFFFF"/>
        <w:sz w:val="22"/>
      </w:rPr>
      <w:tblPr/>
      <w:tcPr>
        <w:shd w:val="clear" w:color="auto" w:fill="009DD9"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5EAFF" w:themeFill="accent2" w:themeFillTint="40"/>
      </w:tcPr>
    </w:tblStylePr>
    <w:tblStylePr w:type="band1Horz">
      <w:rPr>
        <w:rFonts w:ascii="Arial" w:hAnsi="Arial"/>
        <w:color w:val="404040"/>
        <w:sz w:val="22"/>
      </w:rPr>
      <w:tblPr/>
      <w:tcPr>
        <w:shd w:val="clear" w:color="auto" w:fill="B5EAFF" w:themeFill="accent2" w:themeFillTint="40"/>
      </w:tcPr>
    </w:tblStylePr>
  </w:style>
  <w:style w:type="table" w:customStyle="1" w:styleId="ListTable4-Accent3">
    <w:name w:val="List Table 4 - Accent 3"/>
    <w:basedOn w:val="TableauNormal"/>
    <w:uiPriority w:val="99"/>
    <w:rsid w:val="00B30EE6"/>
    <w:pPr>
      <w:spacing w:after="0" w:line="240" w:lineRule="auto"/>
    </w:pPr>
    <w:tblPr>
      <w:tblStyleRowBandSize w:val="1"/>
      <w:tblStyleColBandSize w:val="1"/>
      <w:tblBorders>
        <w:top w:val="single" w:sz="4" w:space="0" w:color="67F0F7" w:themeColor="accent3" w:themeTint="90"/>
        <w:left w:val="single" w:sz="4" w:space="0" w:color="67F0F7" w:themeColor="accent3" w:themeTint="90"/>
        <w:bottom w:val="single" w:sz="4" w:space="0" w:color="67F0F7" w:themeColor="accent3" w:themeTint="90"/>
        <w:right w:val="single" w:sz="4" w:space="0" w:color="67F0F7" w:themeColor="accent3" w:themeTint="90"/>
        <w:insideH w:val="single" w:sz="4" w:space="0" w:color="67F0F7" w:themeColor="accent3" w:themeTint="90"/>
      </w:tblBorders>
    </w:tblPr>
    <w:tblStylePr w:type="firstRow">
      <w:rPr>
        <w:rFonts w:ascii="Arial" w:hAnsi="Arial"/>
        <w:b/>
        <w:color w:val="FFFFFF"/>
        <w:sz w:val="22"/>
      </w:rPr>
      <w:tblPr/>
      <w:tcPr>
        <w:shd w:val="clear" w:color="auto" w:fill="0BD0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8FB" w:themeFill="accent3" w:themeFillTint="40"/>
      </w:tcPr>
    </w:tblStylePr>
    <w:tblStylePr w:type="band1Horz">
      <w:rPr>
        <w:rFonts w:ascii="Arial" w:hAnsi="Arial"/>
        <w:color w:val="404040"/>
        <w:sz w:val="22"/>
      </w:rPr>
      <w:tblPr/>
      <w:tcPr>
        <w:shd w:val="clear" w:color="auto" w:fill="BBF8FB" w:themeFill="accent3" w:themeFillTint="40"/>
      </w:tcPr>
    </w:tblStylePr>
  </w:style>
  <w:style w:type="table" w:customStyle="1" w:styleId="ListTable4-Accent4">
    <w:name w:val="List Table 4 - Accent 4"/>
    <w:basedOn w:val="TableauNormal"/>
    <w:uiPriority w:val="99"/>
    <w:rsid w:val="00B30EE6"/>
    <w:pPr>
      <w:spacing w:after="0" w:line="240" w:lineRule="auto"/>
    </w:pPr>
    <w:tblPr>
      <w:tblStyleRowBandSize w:val="1"/>
      <w:tblStyleColBandSize w:val="1"/>
      <w:tblBorders>
        <w:top w:val="single" w:sz="4" w:space="0" w:color="68F3CD" w:themeColor="accent4" w:themeTint="90"/>
        <w:left w:val="single" w:sz="4" w:space="0" w:color="68F3CD" w:themeColor="accent4" w:themeTint="90"/>
        <w:bottom w:val="single" w:sz="4" w:space="0" w:color="68F3CD" w:themeColor="accent4" w:themeTint="90"/>
        <w:right w:val="single" w:sz="4" w:space="0" w:color="68F3CD" w:themeColor="accent4" w:themeTint="90"/>
        <w:insideH w:val="single" w:sz="4" w:space="0" w:color="68F3CD" w:themeColor="accent4" w:themeTint="90"/>
      </w:tblBorders>
    </w:tblPr>
    <w:tblStylePr w:type="firstRow">
      <w:rPr>
        <w:rFonts w:ascii="Arial" w:hAnsi="Arial"/>
        <w:b/>
        <w:color w:val="FFFFFF"/>
        <w:sz w:val="22"/>
      </w:rPr>
      <w:tblPr/>
      <w:tcPr>
        <w:shd w:val="clear" w:color="auto" w:fill="10CF9B"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BF9E8" w:themeFill="accent4" w:themeFillTint="40"/>
      </w:tcPr>
    </w:tblStylePr>
    <w:tblStylePr w:type="band1Horz">
      <w:rPr>
        <w:rFonts w:ascii="Arial" w:hAnsi="Arial"/>
        <w:color w:val="404040"/>
        <w:sz w:val="22"/>
      </w:rPr>
      <w:tblPr/>
      <w:tcPr>
        <w:shd w:val="clear" w:color="auto" w:fill="BBF9E8" w:themeFill="accent4" w:themeFillTint="40"/>
      </w:tcPr>
    </w:tblStylePr>
  </w:style>
  <w:style w:type="table" w:customStyle="1" w:styleId="ListTable4-Accent5">
    <w:name w:val="List Table 4 - Accent 5"/>
    <w:basedOn w:val="TableauNormal"/>
    <w:uiPriority w:val="99"/>
    <w:rsid w:val="00B30EE6"/>
    <w:pPr>
      <w:spacing w:after="0" w:line="240" w:lineRule="auto"/>
    </w:pPr>
    <w:tblPr>
      <w:tblStyleRowBandSize w:val="1"/>
      <w:tblStyleColBandSize w:val="1"/>
      <w:tblBorders>
        <w:top w:val="single" w:sz="4" w:space="0" w:color="B4E1A6" w:themeColor="accent5" w:themeTint="90"/>
        <w:left w:val="single" w:sz="4" w:space="0" w:color="B4E1A6" w:themeColor="accent5" w:themeTint="90"/>
        <w:bottom w:val="single" w:sz="4" w:space="0" w:color="B4E1A6" w:themeColor="accent5" w:themeTint="90"/>
        <w:right w:val="single" w:sz="4" w:space="0" w:color="B4E1A6" w:themeColor="accent5" w:themeTint="90"/>
        <w:insideH w:val="single" w:sz="4" w:space="0" w:color="B4E1A6" w:themeColor="accent5" w:themeTint="90"/>
      </w:tblBorders>
    </w:tblPr>
    <w:tblStylePr w:type="firstRow">
      <w:rPr>
        <w:rFonts w:ascii="Arial" w:hAnsi="Arial"/>
        <w:b/>
        <w:color w:val="FFFFFF"/>
        <w:sz w:val="22"/>
      </w:rPr>
      <w:tblPr/>
      <w:tcPr>
        <w:shd w:val="clear" w:color="auto" w:fill="7CCA62"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F1D7" w:themeFill="accent5" w:themeFillTint="40"/>
      </w:tcPr>
    </w:tblStylePr>
    <w:tblStylePr w:type="band1Horz">
      <w:rPr>
        <w:rFonts w:ascii="Arial" w:hAnsi="Arial"/>
        <w:color w:val="404040"/>
        <w:sz w:val="22"/>
      </w:rPr>
      <w:tblPr/>
      <w:tcPr>
        <w:shd w:val="clear" w:color="auto" w:fill="DDF1D7" w:themeFill="accent5" w:themeFillTint="40"/>
      </w:tcPr>
    </w:tblStylePr>
  </w:style>
  <w:style w:type="table" w:customStyle="1" w:styleId="ListTable4-Accent6">
    <w:name w:val="List Table 4 - Accent 6"/>
    <w:basedOn w:val="TableauNormal"/>
    <w:uiPriority w:val="99"/>
    <w:rsid w:val="00B30EE6"/>
    <w:pPr>
      <w:spacing w:after="0" w:line="240" w:lineRule="auto"/>
    </w:pPr>
    <w:tblPr>
      <w:tblStyleRowBandSize w:val="1"/>
      <w:tblStyleColBandSize w:val="1"/>
      <w:tblBorders>
        <w:top w:val="single" w:sz="4" w:space="0" w:color="CBDC98" w:themeColor="accent6" w:themeTint="90"/>
        <w:left w:val="single" w:sz="4" w:space="0" w:color="CBDC98" w:themeColor="accent6" w:themeTint="90"/>
        <w:bottom w:val="single" w:sz="4" w:space="0" w:color="CBDC98" w:themeColor="accent6" w:themeTint="90"/>
        <w:right w:val="single" w:sz="4" w:space="0" w:color="CBDC98" w:themeColor="accent6" w:themeTint="90"/>
        <w:insideH w:val="single" w:sz="4" w:space="0" w:color="CBDC98" w:themeColor="accent6" w:themeTint="90"/>
      </w:tblBorders>
    </w:tblPr>
    <w:tblStylePr w:type="firstRow">
      <w:rPr>
        <w:rFonts w:ascii="Arial" w:hAnsi="Arial"/>
        <w:b/>
        <w:color w:val="FFFFFF"/>
        <w:sz w:val="22"/>
      </w:rPr>
      <w:tblPr/>
      <w:tcPr>
        <w:shd w:val="clear" w:color="auto" w:fill="A5C249"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FD1" w:themeFill="accent6" w:themeFillTint="40"/>
      </w:tcPr>
    </w:tblStylePr>
    <w:tblStylePr w:type="band1Horz">
      <w:rPr>
        <w:rFonts w:ascii="Arial" w:hAnsi="Arial"/>
        <w:color w:val="404040"/>
        <w:sz w:val="22"/>
      </w:rPr>
      <w:tblPr/>
      <w:tcPr>
        <w:shd w:val="clear" w:color="auto" w:fill="E8EFD1" w:themeFill="accent6" w:themeFillTint="40"/>
      </w:tcPr>
    </w:tblStylePr>
  </w:style>
  <w:style w:type="table" w:customStyle="1" w:styleId="TableauListe5Fonc1">
    <w:name w:val="Tableau Liste 5 Foncé1"/>
    <w:basedOn w:val="TableauNormal"/>
    <w:uiPriority w:val="99"/>
    <w:rsid w:val="00B30EE6"/>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customStyle="1" w:styleId="ListTable5Dark-Accent1">
    <w:name w:val="List Table 5 Dark - Accent 1"/>
    <w:basedOn w:val="TableauNormal"/>
    <w:uiPriority w:val="99"/>
    <w:rsid w:val="00B30EE6"/>
    <w:pPr>
      <w:spacing w:after="0" w:line="240" w:lineRule="auto"/>
    </w:pPr>
    <w:tblPr>
      <w:tblStyleRowBandSize w:val="1"/>
      <w:tblStyleColBandSize w:val="1"/>
      <w:tblBorders>
        <w:top w:val="single" w:sz="32" w:space="0" w:color="0F6FC6" w:themeColor="accent1"/>
        <w:left w:val="single" w:sz="32" w:space="0" w:color="0F6FC6" w:themeColor="accent1"/>
        <w:bottom w:val="single" w:sz="32" w:space="0" w:color="0F6FC6" w:themeColor="accent1"/>
        <w:right w:val="single" w:sz="32" w:space="0" w:color="0F6FC6" w:themeColor="accent1"/>
      </w:tblBorders>
      <w:shd w:val="clear" w:color="auto" w:fill="0F6FC6" w:themeFill="accent1"/>
    </w:tblPr>
    <w:tblStylePr w:type="firstRow">
      <w:rPr>
        <w:rFonts w:ascii="Arial" w:hAnsi="Arial"/>
        <w:b/>
        <w:color w:val="FFFFFF" w:themeColor="light1"/>
        <w:sz w:val="22"/>
      </w:rPr>
      <w:tblPr/>
      <w:tcPr>
        <w:tcBorders>
          <w:top w:val="single" w:sz="32" w:space="0" w:color="0F6FC6" w:themeColor="accent1"/>
          <w:bottom w:val="single" w:sz="12" w:space="0" w:color="FFFFFF" w:themeColor="light1"/>
        </w:tcBorders>
        <w:shd w:val="clear" w:color="auto" w:fill="0F6FC6"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F6FC6" w:themeColor="accent1"/>
          <w:right w:val="single" w:sz="4" w:space="0" w:color="FFFFFF" w:themeColor="light1"/>
        </w:tcBorders>
      </w:tcPr>
    </w:tblStylePr>
    <w:tblStylePr w:type="lastCol">
      <w:tblPr/>
      <w:tcPr>
        <w:tcBorders>
          <w:left w:val="single" w:sz="4" w:space="0" w:color="FFFFFF" w:themeColor="light1"/>
          <w:right w:val="single" w:sz="32" w:space="0" w:color="0F6FC6" w:themeColor="accent1"/>
        </w:tcBorders>
      </w:tcPr>
    </w:tblStylePr>
    <w:tblStylePr w:type="band1Vert">
      <w:tblPr/>
      <w:tcPr>
        <w:tcBorders>
          <w:left w:val="single" w:sz="4" w:space="0" w:color="FFFFFF" w:themeColor="light1"/>
          <w:right w:val="single" w:sz="4" w:space="0" w:color="FFFFFF" w:themeColor="light1"/>
        </w:tcBorders>
        <w:shd w:val="clear" w:color="auto" w:fill="0F6FC6"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0F6FC6" w:themeFill="accent1"/>
      </w:tcPr>
    </w:tblStylePr>
    <w:tblStylePr w:type="band2Horz">
      <w:tblPr/>
      <w:tcPr>
        <w:tcBorders>
          <w:top w:val="single" w:sz="4" w:space="0" w:color="FFFFFF" w:themeColor="light1"/>
          <w:bottom w:val="single" w:sz="4" w:space="0" w:color="FFFFFF" w:themeColor="light1"/>
        </w:tcBorders>
        <w:shd w:val="clear" w:color="auto" w:fill="0F6FC6" w:themeFill="accent1"/>
      </w:tcPr>
    </w:tblStylePr>
  </w:style>
  <w:style w:type="table" w:customStyle="1" w:styleId="ListTable5Dark-Accent2">
    <w:name w:val="List Table 5 Dark - Accent 2"/>
    <w:basedOn w:val="TableauNormal"/>
    <w:uiPriority w:val="99"/>
    <w:rsid w:val="00B30EE6"/>
    <w:pPr>
      <w:spacing w:after="0" w:line="240" w:lineRule="auto"/>
    </w:pPr>
    <w:tblPr>
      <w:tblStyleRowBandSize w:val="1"/>
      <w:tblStyleColBandSize w:val="1"/>
      <w:tblBorders>
        <w:top w:val="single" w:sz="32" w:space="0" w:color="51CEFF" w:themeColor="accent2" w:themeTint="97"/>
        <w:left w:val="single" w:sz="32" w:space="0" w:color="51CEFF" w:themeColor="accent2" w:themeTint="97"/>
        <w:bottom w:val="single" w:sz="32" w:space="0" w:color="51CEFF" w:themeColor="accent2" w:themeTint="97"/>
        <w:right w:val="single" w:sz="32" w:space="0" w:color="51CEFF" w:themeColor="accent2" w:themeTint="97"/>
      </w:tblBorders>
      <w:shd w:val="clear" w:color="auto" w:fill="51CEFF" w:themeFill="accent2" w:themeFillTint="97"/>
    </w:tblPr>
    <w:tblStylePr w:type="firstRow">
      <w:rPr>
        <w:rFonts w:ascii="Arial" w:hAnsi="Arial"/>
        <w:b/>
        <w:color w:val="FFFFFF" w:themeColor="light1"/>
        <w:sz w:val="22"/>
      </w:rPr>
      <w:tblPr/>
      <w:tcPr>
        <w:tcBorders>
          <w:top w:val="single" w:sz="32" w:space="0" w:color="51CEFF" w:themeColor="accent2" w:themeTint="97"/>
          <w:bottom w:val="single" w:sz="12" w:space="0" w:color="FFFFFF" w:themeColor="light1"/>
        </w:tcBorders>
        <w:shd w:val="clear" w:color="auto" w:fill="51CE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1CEFF" w:themeColor="accent2" w:themeTint="97"/>
          <w:right w:val="single" w:sz="4" w:space="0" w:color="FFFFFF" w:themeColor="light1"/>
        </w:tcBorders>
      </w:tcPr>
    </w:tblStylePr>
    <w:tblStylePr w:type="lastCol">
      <w:tblPr/>
      <w:tcPr>
        <w:tcBorders>
          <w:left w:val="single" w:sz="4" w:space="0" w:color="FFFFFF" w:themeColor="light1"/>
          <w:right w:val="single" w:sz="32" w:space="0" w:color="51CEFF" w:themeColor="accent2" w:themeTint="97"/>
        </w:tcBorders>
      </w:tcPr>
    </w:tblStylePr>
    <w:tblStylePr w:type="band1Vert">
      <w:tblPr/>
      <w:tcPr>
        <w:tcBorders>
          <w:left w:val="single" w:sz="4" w:space="0" w:color="FFFFFF" w:themeColor="light1"/>
          <w:right w:val="single" w:sz="4" w:space="0" w:color="FFFFFF" w:themeColor="light1"/>
        </w:tcBorders>
        <w:shd w:val="clear" w:color="auto" w:fill="51CE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1CEFF" w:themeFill="accent2" w:themeFillTint="97"/>
      </w:tcPr>
    </w:tblStylePr>
    <w:tblStylePr w:type="band2Horz">
      <w:tblPr/>
      <w:tcPr>
        <w:tcBorders>
          <w:top w:val="single" w:sz="4" w:space="0" w:color="FFFFFF" w:themeColor="light1"/>
          <w:bottom w:val="single" w:sz="4" w:space="0" w:color="FFFFFF" w:themeColor="light1"/>
        </w:tcBorders>
        <w:shd w:val="clear" w:color="auto" w:fill="51CEFF" w:themeFill="accent2" w:themeFillTint="97"/>
      </w:tcPr>
    </w:tblStylePr>
  </w:style>
  <w:style w:type="table" w:customStyle="1" w:styleId="ListTable5Dark-Accent3">
    <w:name w:val="List Table 5 Dark - Accent 3"/>
    <w:basedOn w:val="TableauNormal"/>
    <w:uiPriority w:val="99"/>
    <w:rsid w:val="00B30EE6"/>
    <w:pPr>
      <w:spacing w:after="0" w:line="240" w:lineRule="auto"/>
    </w:pPr>
    <w:tblPr>
      <w:tblStyleRowBandSize w:val="1"/>
      <w:tblStyleColBandSize w:val="1"/>
      <w:tblBorders>
        <w:top w:val="single" w:sz="32" w:space="0" w:color="5EEFF7" w:themeColor="accent3" w:themeTint="98"/>
        <w:left w:val="single" w:sz="32" w:space="0" w:color="5EEFF7" w:themeColor="accent3" w:themeTint="98"/>
        <w:bottom w:val="single" w:sz="32" w:space="0" w:color="5EEFF7" w:themeColor="accent3" w:themeTint="98"/>
        <w:right w:val="single" w:sz="32" w:space="0" w:color="5EEFF7" w:themeColor="accent3" w:themeTint="98"/>
      </w:tblBorders>
      <w:shd w:val="clear" w:color="auto" w:fill="5EEFF7" w:themeFill="accent3" w:themeFillTint="98"/>
    </w:tblPr>
    <w:tblStylePr w:type="firstRow">
      <w:rPr>
        <w:rFonts w:ascii="Arial" w:hAnsi="Arial"/>
        <w:b/>
        <w:color w:val="FFFFFF" w:themeColor="light1"/>
        <w:sz w:val="22"/>
      </w:rPr>
      <w:tblPr/>
      <w:tcPr>
        <w:tcBorders>
          <w:top w:val="single" w:sz="32" w:space="0" w:color="5EEFF7" w:themeColor="accent3" w:themeTint="98"/>
          <w:bottom w:val="single" w:sz="12" w:space="0" w:color="FFFFFF" w:themeColor="light1"/>
        </w:tcBorders>
        <w:shd w:val="clear" w:color="auto" w:fill="5EEFF7"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EEFF7" w:themeColor="accent3" w:themeTint="98"/>
          <w:right w:val="single" w:sz="4" w:space="0" w:color="FFFFFF" w:themeColor="light1"/>
        </w:tcBorders>
      </w:tcPr>
    </w:tblStylePr>
    <w:tblStylePr w:type="lastCol">
      <w:tblPr/>
      <w:tcPr>
        <w:tcBorders>
          <w:left w:val="single" w:sz="4" w:space="0" w:color="FFFFFF" w:themeColor="light1"/>
          <w:right w:val="single" w:sz="32" w:space="0" w:color="5EEFF7" w:themeColor="accent3" w:themeTint="98"/>
        </w:tcBorders>
      </w:tcPr>
    </w:tblStylePr>
    <w:tblStylePr w:type="band1Vert">
      <w:tblPr/>
      <w:tcPr>
        <w:tcBorders>
          <w:left w:val="single" w:sz="4" w:space="0" w:color="FFFFFF" w:themeColor="light1"/>
          <w:right w:val="single" w:sz="4" w:space="0" w:color="FFFFFF" w:themeColor="light1"/>
        </w:tcBorders>
        <w:shd w:val="clear" w:color="auto" w:fill="5EEFF7"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EEFF7" w:themeFill="accent3" w:themeFillTint="98"/>
      </w:tcPr>
    </w:tblStylePr>
    <w:tblStylePr w:type="band2Horz">
      <w:tblPr/>
      <w:tcPr>
        <w:tcBorders>
          <w:top w:val="single" w:sz="4" w:space="0" w:color="FFFFFF" w:themeColor="light1"/>
          <w:bottom w:val="single" w:sz="4" w:space="0" w:color="FFFFFF" w:themeColor="light1"/>
        </w:tcBorders>
        <w:shd w:val="clear" w:color="auto" w:fill="5EEFF7" w:themeFill="accent3" w:themeFillTint="98"/>
      </w:tcPr>
    </w:tblStylePr>
  </w:style>
  <w:style w:type="table" w:customStyle="1" w:styleId="ListTable5Dark-Accent4">
    <w:name w:val="List Table 5 Dark - Accent 4"/>
    <w:basedOn w:val="TableauNormal"/>
    <w:uiPriority w:val="99"/>
    <w:rsid w:val="00B30EE6"/>
    <w:pPr>
      <w:spacing w:after="0" w:line="240" w:lineRule="auto"/>
    </w:pPr>
    <w:tblPr>
      <w:tblStyleRowBandSize w:val="1"/>
      <w:tblStyleColBandSize w:val="1"/>
      <w:tblBorders>
        <w:top w:val="single" w:sz="32" w:space="0" w:color="5EF2C9" w:themeColor="accent4" w:themeTint="9A"/>
        <w:left w:val="single" w:sz="32" w:space="0" w:color="5EF2C9" w:themeColor="accent4" w:themeTint="9A"/>
        <w:bottom w:val="single" w:sz="32" w:space="0" w:color="5EF2C9" w:themeColor="accent4" w:themeTint="9A"/>
        <w:right w:val="single" w:sz="32" w:space="0" w:color="5EF2C9" w:themeColor="accent4" w:themeTint="9A"/>
      </w:tblBorders>
      <w:shd w:val="clear" w:color="auto" w:fill="5EF2C9" w:themeFill="accent4" w:themeFillTint="9A"/>
    </w:tblPr>
    <w:tblStylePr w:type="firstRow">
      <w:rPr>
        <w:rFonts w:ascii="Arial" w:hAnsi="Arial"/>
        <w:b/>
        <w:color w:val="FFFFFF" w:themeColor="light1"/>
        <w:sz w:val="22"/>
      </w:rPr>
      <w:tblPr/>
      <w:tcPr>
        <w:tcBorders>
          <w:top w:val="single" w:sz="32" w:space="0" w:color="5EF2C9" w:themeColor="accent4" w:themeTint="9A"/>
          <w:bottom w:val="single" w:sz="12" w:space="0" w:color="FFFFFF" w:themeColor="light1"/>
        </w:tcBorders>
        <w:shd w:val="clear" w:color="auto" w:fill="5EF2C9"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EF2C9" w:themeColor="accent4" w:themeTint="9A"/>
          <w:right w:val="single" w:sz="4" w:space="0" w:color="FFFFFF" w:themeColor="light1"/>
        </w:tcBorders>
      </w:tcPr>
    </w:tblStylePr>
    <w:tblStylePr w:type="lastCol">
      <w:tblPr/>
      <w:tcPr>
        <w:tcBorders>
          <w:left w:val="single" w:sz="4" w:space="0" w:color="FFFFFF" w:themeColor="light1"/>
          <w:right w:val="single" w:sz="32" w:space="0" w:color="5EF2C9" w:themeColor="accent4" w:themeTint="9A"/>
        </w:tcBorders>
      </w:tcPr>
    </w:tblStylePr>
    <w:tblStylePr w:type="band1Vert">
      <w:tblPr/>
      <w:tcPr>
        <w:tcBorders>
          <w:left w:val="single" w:sz="4" w:space="0" w:color="FFFFFF" w:themeColor="light1"/>
          <w:right w:val="single" w:sz="4" w:space="0" w:color="FFFFFF" w:themeColor="light1"/>
        </w:tcBorders>
        <w:shd w:val="clear" w:color="auto" w:fill="5EF2C9"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5EF2C9" w:themeFill="accent4" w:themeFillTint="9A"/>
      </w:tcPr>
    </w:tblStylePr>
    <w:tblStylePr w:type="band2Horz">
      <w:tblPr/>
      <w:tcPr>
        <w:tcBorders>
          <w:top w:val="single" w:sz="4" w:space="0" w:color="FFFFFF" w:themeColor="light1"/>
          <w:bottom w:val="single" w:sz="4" w:space="0" w:color="FFFFFF" w:themeColor="light1"/>
        </w:tcBorders>
        <w:shd w:val="clear" w:color="auto" w:fill="5EF2C9" w:themeFill="accent4" w:themeFillTint="9A"/>
      </w:tcPr>
    </w:tblStylePr>
  </w:style>
  <w:style w:type="table" w:customStyle="1" w:styleId="ListTable5Dark-Accent5">
    <w:name w:val="List Table 5 Dark - Accent 5"/>
    <w:basedOn w:val="TableauNormal"/>
    <w:uiPriority w:val="99"/>
    <w:rsid w:val="00B30EE6"/>
    <w:pPr>
      <w:spacing w:after="0" w:line="240" w:lineRule="auto"/>
    </w:pPr>
    <w:tblPr>
      <w:tblStyleRowBandSize w:val="1"/>
      <w:tblStyleColBandSize w:val="1"/>
      <w:tblBorders>
        <w:top w:val="single" w:sz="32" w:space="0" w:color="AFDFA0" w:themeColor="accent5" w:themeTint="9A"/>
        <w:left w:val="single" w:sz="32" w:space="0" w:color="AFDFA0" w:themeColor="accent5" w:themeTint="9A"/>
        <w:bottom w:val="single" w:sz="32" w:space="0" w:color="AFDFA0" w:themeColor="accent5" w:themeTint="9A"/>
        <w:right w:val="single" w:sz="32" w:space="0" w:color="AFDFA0" w:themeColor="accent5" w:themeTint="9A"/>
      </w:tblBorders>
      <w:shd w:val="clear" w:color="auto" w:fill="AFDFA0" w:themeFill="accent5" w:themeFillTint="9A"/>
    </w:tblPr>
    <w:tblStylePr w:type="firstRow">
      <w:rPr>
        <w:rFonts w:ascii="Arial" w:hAnsi="Arial"/>
        <w:b/>
        <w:color w:val="FFFFFF" w:themeColor="light1"/>
        <w:sz w:val="22"/>
      </w:rPr>
      <w:tblPr/>
      <w:tcPr>
        <w:tcBorders>
          <w:top w:val="single" w:sz="32" w:space="0" w:color="AFDFA0" w:themeColor="accent5" w:themeTint="9A"/>
          <w:bottom w:val="single" w:sz="12" w:space="0" w:color="FFFFFF" w:themeColor="light1"/>
        </w:tcBorders>
        <w:shd w:val="clear" w:color="auto" w:fill="AFDFA0"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FDFA0" w:themeColor="accent5" w:themeTint="9A"/>
          <w:right w:val="single" w:sz="4" w:space="0" w:color="FFFFFF" w:themeColor="light1"/>
        </w:tcBorders>
      </w:tcPr>
    </w:tblStylePr>
    <w:tblStylePr w:type="lastCol">
      <w:tblPr/>
      <w:tcPr>
        <w:tcBorders>
          <w:left w:val="single" w:sz="4" w:space="0" w:color="FFFFFF" w:themeColor="light1"/>
          <w:right w:val="single" w:sz="32" w:space="0" w:color="AFDFA0" w:themeColor="accent5" w:themeTint="9A"/>
        </w:tcBorders>
      </w:tcPr>
    </w:tblStylePr>
    <w:tblStylePr w:type="band1Vert">
      <w:tblPr/>
      <w:tcPr>
        <w:tcBorders>
          <w:left w:val="single" w:sz="4" w:space="0" w:color="FFFFFF" w:themeColor="light1"/>
          <w:right w:val="single" w:sz="4" w:space="0" w:color="FFFFFF" w:themeColor="light1"/>
        </w:tcBorders>
        <w:shd w:val="clear" w:color="auto" w:fill="AFDFA0"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FDFA0" w:themeFill="accent5" w:themeFillTint="9A"/>
      </w:tcPr>
    </w:tblStylePr>
    <w:tblStylePr w:type="band2Horz">
      <w:tblPr/>
      <w:tcPr>
        <w:tcBorders>
          <w:top w:val="single" w:sz="4" w:space="0" w:color="FFFFFF" w:themeColor="light1"/>
          <w:bottom w:val="single" w:sz="4" w:space="0" w:color="FFFFFF" w:themeColor="light1"/>
        </w:tcBorders>
        <w:shd w:val="clear" w:color="auto" w:fill="AFDFA0" w:themeFill="accent5" w:themeFillTint="9A"/>
      </w:tcPr>
    </w:tblStylePr>
  </w:style>
  <w:style w:type="table" w:customStyle="1" w:styleId="ListTable5Dark-Accent6">
    <w:name w:val="List Table 5 Dark - Accent 6"/>
    <w:basedOn w:val="TableauNormal"/>
    <w:uiPriority w:val="99"/>
    <w:rsid w:val="00B30EE6"/>
    <w:pPr>
      <w:spacing w:after="0" w:line="240" w:lineRule="auto"/>
    </w:pPr>
    <w:tblPr>
      <w:tblStyleRowBandSize w:val="1"/>
      <w:tblStyleColBandSize w:val="1"/>
      <w:tblBorders>
        <w:top w:val="single" w:sz="32" w:space="0" w:color="C9DA92" w:themeColor="accent6" w:themeTint="98"/>
        <w:left w:val="single" w:sz="32" w:space="0" w:color="C9DA92" w:themeColor="accent6" w:themeTint="98"/>
        <w:bottom w:val="single" w:sz="32" w:space="0" w:color="C9DA92" w:themeColor="accent6" w:themeTint="98"/>
        <w:right w:val="single" w:sz="32" w:space="0" w:color="C9DA92" w:themeColor="accent6" w:themeTint="98"/>
      </w:tblBorders>
      <w:shd w:val="clear" w:color="auto" w:fill="C9DA92" w:themeFill="accent6" w:themeFillTint="98"/>
    </w:tblPr>
    <w:tblStylePr w:type="firstRow">
      <w:rPr>
        <w:rFonts w:ascii="Arial" w:hAnsi="Arial"/>
        <w:b/>
        <w:color w:val="FFFFFF" w:themeColor="light1"/>
        <w:sz w:val="22"/>
      </w:rPr>
      <w:tblPr/>
      <w:tcPr>
        <w:tcBorders>
          <w:top w:val="single" w:sz="32" w:space="0" w:color="C9DA92" w:themeColor="accent6" w:themeTint="98"/>
          <w:bottom w:val="single" w:sz="12" w:space="0" w:color="FFFFFF" w:themeColor="light1"/>
        </w:tcBorders>
        <w:shd w:val="clear" w:color="auto" w:fill="C9DA9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DA92" w:themeColor="accent6" w:themeTint="98"/>
          <w:right w:val="single" w:sz="4" w:space="0" w:color="FFFFFF" w:themeColor="light1"/>
        </w:tcBorders>
      </w:tcPr>
    </w:tblStylePr>
    <w:tblStylePr w:type="lastCol">
      <w:tblPr/>
      <w:tcPr>
        <w:tcBorders>
          <w:left w:val="single" w:sz="4" w:space="0" w:color="FFFFFF" w:themeColor="light1"/>
          <w:right w:val="single" w:sz="32" w:space="0" w:color="C9DA92" w:themeColor="accent6" w:themeTint="98"/>
        </w:tcBorders>
      </w:tcPr>
    </w:tblStylePr>
    <w:tblStylePr w:type="band1Vert">
      <w:tblPr/>
      <w:tcPr>
        <w:tcBorders>
          <w:left w:val="single" w:sz="4" w:space="0" w:color="FFFFFF" w:themeColor="light1"/>
          <w:right w:val="single" w:sz="4" w:space="0" w:color="FFFFFF" w:themeColor="light1"/>
        </w:tcBorders>
        <w:shd w:val="clear" w:color="auto" w:fill="C9DA9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DA92" w:themeFill="accent6" w:themeFillTint="98"/>
      </w:tcPr>
    </w:tblStylePr>
    <w:tblStylePr w:type="band2Horz">
      <w:tblPr/>
      <w:tcPr>
        <w:tcBorders>
          <w:top w:val="single" w:sz="4" w:space="0" w:color="FFFFFF" w:themeColor="light1"/>
          <w:bottom w:val="single" w:sz="4" w:space="0" w:color="FFFFFF" w:themeColor="light1"/>
        </w:tcBorders>
        <w:shd w:val="clear" w:color="auto" w:fill="C9DA92" w:themeFill="accent6" w:themeFillTint="98"/>
      </w:tcPr>
    </w:tblStylePr>
  </w:style>
  <w:style w:type="table" w:customStyle="1" w:styleId="TableauListe6Couleur1">
    <w:name w:val="Tableau Liste 6 Couleur1"/>
    <w:basedOn w:val="TableauNormal"/>
    <w:uiPriority w:val="99"/>
    <w:rsid w:val="00B30EE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rsid w:val="00B30EE6"/>
    <w:pPr>
      <w:spacing w:after="0" w:line="240" w:lineRule="auto"/>
    </w:pPr>
    <w:tblPr>
      <w:tblStyleRowBandSize w:val="1"/>
      <w:tblStyleColBandSize w:val="1"/>
      <w:tblBorders>
        <w:top w:val="single" w:sz="4" w:space="0" w:color="0F6FC6" w:themeColor="accent1"/>
        <w:bottom w:val="single" w:sz="4" w:space="0" w:color="0F6FC6" w:themeColor="accent1"/>
      </w:tblBorders>
    </w:tblPr>
    <w:tblStylePr w:type="firstRow">
      <w:rPr>
        <w:b/>
        <w:color w:val="084073" w:themeColor="accent1" w:themeShade="95"/>
      </w:rPr>
      <w:tblPr/>
      <w:tcPr>
        <w:tcBorders>
          <w:bottom w:val="single" w:sz="4" w:space="0" w:color="0F6FC6" w:themeColor="accent1"/>
        </w:tcBorders>
      </w:tcPr>
    </w:tblStylePr>
    <w:tblStylePr w:type="lastRow">
      <w:rPr>
        <w:b/>
        <w:color w:val="084073" w:themeColor="accent1" w:themeShade="95"/>
      </w:rPr>
      <w:tblPr/>
      <w:tcPr>
        <w:tcBorders>
          <w:top w:val="single" w:sz="4" w:space="0" w:color="0F6FC6" w:themeColor="accent1"/>
        </w:tcBorders>
      </w:tcPr>
    </w:tblStylePr>
    <w:tblStylePr w:type="firstCol">
      <w:rPr>
        <w:b/>
        <w:color w:val="084073" w:themeColor="accent1" w:themeShade="95"/>
      </w:rPr>
    </w:tblStylePr>
    <w:tblStylePr w:type="lastCol">
      <w:rPr>
        <w:b/>
        <w:color w:val="084073" w:themeColor="accent1" w:themeShade="95"/>
      </w:rPr>
    </w:tblStylePr>
    <w:tblStylePr w:type="band1Vert">
      <w:tblPr/>
      <w:tcPr>
        <w:shd w:val="clear" w:color="auto" w:fill="B9DBF9" w:themeFill="accent1" w:themeFillTint="40"/>
      </w:tcPr>
    </w:tblStylePr>
    <w:tblStylePr w:type="band1Horz">
      <w:rPr>
        <w:rFonts w:ascii="Arial" w:hAnsi="Arial"/>
        <w:color w:val="084073" w:themeColor="accent1" w:themeShade="95"/>
        <w:sz w:val="22"/>
      </w:rPr>
      <w:tblPr/>
      <w:tcPr>
        <w:shd w:val="clear" w:color="auto" w:fill="B9DBF9" w:themeFill="accent1" w:themeFillTint="40"/>
      </w:tcPr>
    </w:tblStylePr>
    <w:tblStylePr w:type="band2Horz">
      <w:rPr>
        <w:rFonts w:ascii="Arial" w:hAnsi="Arial"/>
        <w:color w:val="084073" w:themeColor="accent1" w:themeShade="95"/>
        <w:sz w:val="22"/>
      </w:rPr>
    </w:tblStylePr>
  </w:style>
  <w:style w:type="table" w:customStyle="1" w:styleId="ListTable6Colorful-Accent2">
    <w:name w:val="List Table 6 Colorful - Accent 2"/>
    <w:basedOn w:val="TableauNormal"/>
    <w:uiPriority w:val="99"/>
    <w:rsid w:val="00B30EE6"/>
    <w:pPr>
      <w:spacing w:after="0" w:line="240" w:lineRule="auto"/>
    </w:pPr>
    <w:tblPr>
      <w:tblStyleRowBandSize w:val="1"/>
      <w:tblStyleColBandSize w:val="1"/>
      <w:tblBorders>
        <w:top w:val="single" w:sz="4" w:space="0" w:color="51CEFF" w:themeColor="accent2" w:themeTint="97"/>
        <w:bottom w:val="single" w:sz="4" w:space="0" w:color="51CEFF" w:themeColor="accent2" w:themeTint="97"/>
      </w:tblBorders>
    </w:tblPr>
    <w:tblStylePr w:type="firstRow">
      <w:rPr>
        <w:b/>
        <w:color w:val="51CEFF" w:themeColor="accent2" w:themeTint="97" w:themeShade="95"/>
      </w:rPr>
      <w:tblPr/>
      <w:tcPr>
        <w:tcBorders>
          <w:bottom w:val="single" w:sz="4" w:space="0" w:color="51CEFF" w:themeColor="accent2" w:themeTint="97"/>
        </w:tcBorders>
      </w:tcPr>
    </w:tblStylePr>
    <w:tblStylePr w:type="lastRow">
      <w:rPr>
        <w:b/>
        <w:color w:val="51CEFF" w:themeColor="accent2" w:themeTint="97" w:themeShade="95"/>
      </w:rPr>
      <w:tblPr/>
      <w:tcPr>
        <w:tcBorders>
          <w:top w:val="single" w:sz="4" w:space="0" w:color="51CEFF" w:themeColor="accent2" w:themeTint="97"/>
        </w:tcBorders>
      </w:tcPr>
    </w:tblStylePr>
    <w:tblStylePr w:type="firstCol">
      <w:rPr>
        <w:b/>
        <w:color w:val="51CEFF" w:themeColor="accent2" w:themeTint="97" w:themeShade="95"/>
      </w:rPr>
    </w:tblStylePr>
    <w:tblStylePr w:type="lastCol">
      <w:rPr>
        <w:b/>
        <w:color w:val="51CEFF" w:themeColor="accent2" w:themeTint="97" w:themeShade="95"/>
      </w:rPr>
    </w:tblStylePr>
    <w:tblStylePr w:type="band1Vert">
      <w:tblPr/>
      <w:tcPr>
        <w:shd w:val="clear" w:color="auto" w:fill="B5EAFF" w:themeFill="accent2" w:themeFillTint="40"/>
      </w:tcPr>
    </w:tblStylePr>
    <w:tblStylePr w:type="band1Horz">
      <w:rPr>
        <w:rFonts w:ascii="Arial" w:hAnsi="Arial"/>
        <w:color w:val="51CEFF" w:themeColor="accent2" w:themeTint="97" w:themeShade="95"/>
        <w:sz w:val="22"/>
      </w:rPr>
      <w:tblPr/>
      <w:tcPr>
        <w:shd w:val="clear" w:color="auto" w:fill="B5EAFF" w:themeFill="accent2" w:themeFillTint="40"/>
      </w:tcPr>
    </w:tblStylePr>
    <w:tblStylePr w:type="band2Horz">
      <w:rPr>
        <w:rFonts w:ascii="Arial" w:hAnsi="Arial"/>
        <w:color w:val="51CEFF" w:themeColor="accent2" w:themeTint="97" w:themeShade="95"/>
        <w:sz w:val="22"/>
      </w:rPr>
    </w:tblStylePr>
  </w:style>
  <w:style w:type="table" w:customStyle="1" w:styleId="ListTable6Colorful-Accent3">
    <w:name w:val="List Table 6 Colorful - Accent 3"/>
    <w:basedOn w:val="TableauNormal"/>
    <w:uiPriority w:val="99"/>
    <w:rsid w:val="00B30EE6"/>
    <w:pPr>
      <w:spacing w:after="0" w:line="240" w:lineRule="auto"/>
    </w:pPr>
    <w:tblPr>
      <w:tblStyleRowBandSize w:val="1"/>
      <w:tblStyleColBandSize w:val="1"/>
      <w:tblBorders>
        <w:top w:val="single" w:sz="4" w:space="0" w:color="5EEFF7" w:themeColor="accent3" w:themeTint="98"/>
        <w:bottom w:val="single" w:sz="4" w:space="0" w:color="5EEFF7" w:themeColor="accent3" w:themeTint="98"/>
      </w:tblBorders>
    </w:tblPr>
    <w:tblStylePr w:type="firstRow">
      <w:rPr>
        <w:b/>
        <w:color w:val="5EEFF7" w:themeColor="accent3" w:themeTint="98" w:themeShade="95"/>
      </w:rPr>
      <w:tblPr/>
      <w:tcPr>
        <w:tcBorders>
          <w:bottom w:val="single" w:sz="4" w:space="0" w:color="5EEFF7" w:themeColor="accent3" w:themeTint="98"/>
        </w:tcBorders>
      </w:tcPr>
    </w:tblStylePr>
    <w:tblStylePr w:type="lastRow">
      <w:rPr>
        <w:b/>
        <w:color w:val="5EEFF7" w:themeColor="accent3" w:themeTint="98" w:themeShade="95"/>
      </w:rPr>
      <w:tblPr/>
      <w:tcPr>
        <w:tcBorders>
          <w:top w:val="single" w:sz="4" w:space="0" w:color="5EEFF7" w:themeColor="accent3" w:themeTint="98"/>
        </w:tcBorders>
      </w:tcPr>
    </w:tblStylePr>
    <w:tblStylePr w:type="firstCol">
      <w:rPr>
        <w:b/>
        <w:color w:val="5EEFF7" w:themeColor="accent3" w:themeTint="98" w:themeShade="95"/>
      </w:rPr>
    </w:tblStylePr>
    <w:tblStylePr w:type="lastCol">
      <w:rPr>
        <w:b/>
        <w:color w:val="5EEFF7" w:themeColor="accent3" w:themeTint="98" w:themeShade="95"/>
      </w:rPr>
    </w:tblStylePr>
    <w:tblStylePr w:type="band1Vert">
      <w:tblPr/>
      <w:tcPr>
        <w:shd w:val="clear" w:color="auto" w:fill="BBF8FB" w:themeFill="accent3" w:themeFillTint="40"/>
      </w:tcPr>
    </w:tblStylePr>
    <w:tblStylePr w:type="band1Horz">
      <w:rPr>
        <w:rFonts w:ascii="Arial" w:hAnsi="Arial"/>
        <w:color w:val="5EEFF7" w:themeColor="accent3" w:themeTint="98" w:themeShade="95"/>
        <w:sz w:val="22"/>
      </w:rPr>
      <w:tblPr/>
      <w:tcPr>
        <w:shd w:val="clear" w:color="auto" w:fill="BBF8FB" w:themeFill="accent3" w:themeFillTint="40"/>
      </w:tcPr>
    </w:tblStylePr>
    <w:tblStylePr w:type="band2Horz">
      <w:rPr>
        <w:rFonts w:ascii="Arial" w:hAnsi="Arial"/>
        <w:color w:val="5EEFF7" w:themeColor="accent3" w:themeTint="98" w:themeShade="95"/>
        <w:sz w:val="22"/>
      </w:rPr>
    </w:tblStylePr>
  </w:style>
  <w:style w:type="table" w:customStyle="1" w:styleId="ListTable6Colorful-Accent4">
    <w:name w:val="List Table 6 Colorful - Accent 4"/>
    <w:basedOn w:val="TableauNormal"/>
    <w:uiPriority w:val="99"/>
    <w:rsid w:val="00B30EE6"/>
    <w:pPr>
      <w:spacing w:after="0" w:line="240" w:lineRule="auto"/>
    </w:pPr>
    <w:tblPr>
      <w:tblStyleRowBandSize w:val="1"/>
      <w:tblStyleColBandSize w:val="1"/>
      <w:tblBorders>
        <w:top w:val="single" w:sz="4" w:space="0" w:color="5EF2C9" w:themeColor="accent4" w:themeTint="9A"/>
        <w:bottom w:val="single" w:sz="4" w:space="0" w:color="5EF2C9" w:themeColor="accent4" w:themeTint="9A"/>
      </w:tblBorders>
    </w:tblPr>
    <w:tblStylePr w:type="firstRow">
      <w:rPr>
        <w:b/>
        <w:color w:val="5EF2C9" w:themeColor="accent4" w:themeTint="9A" w:themeShade="95"/>
      </w:rPr>
      <w:tblPr/>
      <w:tcPr>
        <w:tcBorders>
          <w:bottom w:val="single" w:sz="4" w:space="0" w:color="5EF2C9" w:themeColor="accent4" w:themeTint="9A"/>
        </w:tcBorders>
      </w:tcPr>
    </w:tblStylePr>
    <w:tblStylePr w:type="lastRow">
      <w:rPr>
        <w:b/>
        <w:color w:val="5EF2C9" w:themeColor="accent4" w:themeTint="9A" w:themeShade="95"/>
      </w:rPr>
      <w:tblPr/>
      <w:tcPr>
        <w:tcBorders>
          <w:top w:val="single" w:sz="4" w:space="0" w:color="5EF2C9" w:themeColor="accent4" w:themeTint="9A"/>
        </w:tcBorders>
      </w:tcPr>
    </w:tblStylePr>
    <w:tblStylePr w:type="firstCol">
      <w:rPr>
        <w:b/>
        <w:color w:val="5EF2C9" w:themeColor="accent4" w:themeTint="9A" w:themeShade="95"/>
      </w:rPr>
    </w:tblStylePr>
    <w:tblStylePr w:type="lastCol">
      <w:rPr>
        <w:b/>
        <w:color w:val="5EF2C9" w:themeColor="accent4" w:themeTint="9A" w:themeShade="95"/>
      </w:rPr>
    </w:tblStylePr>
    <w:tblStylePr w:type="band1Vert">
      <w:tblPr/>
      <w:tcPr>
        <w:shd w:val="clear" w:color="auto" w:fill="BBF9E8" w:themeFill="accent4" w:themeFillTint="40"/>
      </w:tcPr>
    </w:tblStylePr>
    <w:tblStylePr w:type="band1Horz">
      <w:rPr>
        <w:rFonts w:ascii="Arial" w:hAnsi="Arial"/>
        <w:color w:val="5EF2C9" w:themeColor="accent4" w:themeTint="9A" w:themeShade="95"/>
        <w:sz w:val="22"/>
      </w:rPr>
      <w:tblPr/>
      <w:tcPr>
        <w:shd w:val="clear" w:color="auto" w:fill="BBF9E8" w:themeFill="accent4" w:themeFillTint="40"/>
      </w:tcPr>
    </w:tblStylePr>
    <w:tblStylePr w:type="band2Horz">
      <w:rPr>
        <w:rFonts w:ascii="Arial" w:hAnsi="Arial"/>
        <w:color w:val="5EF2C9" w:themeColor="accent4" w:themeTint="9A" w:themeShade="95"/>
        <w:sz w:val="22"/>
      </w:rPr>
    </w:tblStylePr>
  </w:style>
  <w:style w:type="table" w:customStyle="1" w:styleId="ListTable6Colorful-Accent5">
    <w:name w:val="List Table 6 Colorful - Accent 5"/>
    <w:basedOn w:val="TableauNormal"/>
    <w:uiPriority w:val="99"/>
    <w:rsid w:val="00B30EE6"/>
    <w:pPr>
      <w:spacing w:after="0" w:line="240" w:lineRule="auto"/>
    </w:pPr>
    <w:tblPr>
      <w:tblStyleRowBandSize w:val="1"/>
      <w:tblStyleColBandSize w:val="1"/>
      <w:tblBorders>
        <w:top w:val="single" w:sz="4" w:space="0" w:color="AFDFA0" w:themeColor="accent5" w:themeTint="9A"/>
        <w:bottom w:val="single" w:sz="4" w:space="0" w:color="AFDFA0" w:themeColor="accent5" w:themeTint="9A"/>
      </w:tblBorders>
    </w:tblPr>
    <w:tblStylePr w:type="firstRow">
      <w:rPr>
        <w:b/>
        <w:color w:val="AFDFA0" w:themeColor="accent5" w:themeTint="9A" w:themeShade="95"/>
      </w:rPr>
      <w:tblPr/>
      <w:tcPr>
        <w:tcBorders>
          <w:bottom w:val="single" w:sz="4" w:space="0" w:color="AFDFA0" w:themeColor="accent5" w:themeTint="9A"/>
        </w:tcBorders>
      </w:tcPr>
    </w:tblStylePr>
    <w:tblStylePr w:type="lastRow">
      <w:rPr>
        <w:b/>
        <w:color w:val="AFDFA0" w:themeColor="accent5" w:themeTint="9A" w:themeShade="95"/>
      </w:rPr>
      <w:tblPr/>
      <w:tcPr>
        <w:tcBorders>
          <w:top w:val="single" w:sz="4" w:space="0" w:color="AFDFA0" w:themeColor="accent5" w:themeTint="9A"/>
        </w:tcBorders>
      </w:tcPr>
    </w:tblStylePr>
    <w:tblStylePr w:type="firstCol">
      <w:rPr>
        <w:b/>
        <w:color w:val="AFDFA0" w:themeColor="accent5" w:themeTint="9A" w:themeShade="95"/>
      </w:rPr>
    </w:tblStylePr>
    <w:tblStylePr w:type="lastCol">
      <w:rPr>
        <w:b/>
        <w:color w:val="AFDFA0" w:themeColor="accent5" w:themeTint="9A" w:themeShade="95"/>
      </w:rPr>
    </w:tblStylePr>
    <w:tblStylePr w:type="band1Vert">
      <w:tblPr/>
      <w:tcPr>
        <w:shd w:val="clear" w:color="auto" w:fill="DDF1D7" w:themeFill="accent5" w:themeFillTint="40"/>
      </w:tcPr>
    </w:tblStylePr>
    <w:tblStylePr w:type="band1Horz">
      <w:rPr>
        <w:rFonts w:ascii="Arial" w:hAnsi="Arial"/>
        <w:color w:val="AFDFA0" w:themeColor="accent5" w:themeTint="9A" w:themeShade="95"/>
        <w:sz w:val="22"/>
      </w:rPr>
      <w:tblPr/>
      <w:tcPr>
        <w:shd w:val="clear" w:color="auto" w:fill="DDF1D7" w:themeFill="accent5" w:themeFillTint="40"/>
      </w:tcPr>
    </w:tblStylePr>
    <w:tblStylePr w:type="band2Horz">
      <w:rPr>
        <w:rFonts w:ascii="Arial" w:hAnsi="Arial"/>
        <w:color w:val="AFDFA0" w:themeColor="accent5" w:themeTint="9A" w:themeShade="95"/>
        <w:sz w:val="22"/>
      </w:rPr>
    </w:tblStylePr>
  </w:style>
  <w:style w:type="table" w:customStyle="1" w:styleId="ListTable6Colorful-Accent6">
    <w:name w:val="List Table 6 Colorful - Accent 6"/>
    <w:basedOn w:val="TableauNormal"/>
    <w:uiPriority w:val="99"/>
    <w:rsid w:val="00B30EE6"/>
    <w:pPr>
      <w:spacing w:after="0" w:line="240" w:lineRule="auto"/>
    </w:pPr>
    <w:tblPr>
      <w:tblStyleRowBandSize w:val="1"/>
      <w:tblStyleColBandSize w:val="1"/>
      <w:tblBorders>
        <w:top w:val="single" w:sz="4" w:space="0" w:color="C9DA92" w:themeColor="accent6" w:themeTint="98"/>
        <w:bottom w:val="single" w:sz="4" w:space="0" w:color="C9DA92" w:themeColor="accent6" w:themeTint="98"/>
      </w:tblBorders>
    </w:tblPr>
    <w:tblStylePr w:type="firstRow">
      <w:rPr>
        <w:b/>
        <w:color w:val="C9DA92" w:themeColor="accent6" w:themeTint="98" w:themeShade="95"/>
      </w:rPr>
      <w:tblPr/>
      <w:tcPr>
        <w:tcBorders>
          <w:bottom w:val="single" w:sz="4" w:space="0" w:color="C9DA92" w:themeColor="accent6" w:themeTint="98"/>
        </w:tcBorders>
      </w:tcPr>
    </w:tblStylePr>
    <w:tblStylePr w:type="lastRow">
      <w:rPr>
        <w:b/>
        <w:color w:val="C9DA92" w:themeColor="accent6" w:themeTint="98" w:themeShade="95"/>
      </w:rPr>
      <w:tblPr/>
      <w:tcPr>
        <w:tcBorders>
          <w:top w:val="single" w:sz="4" w:space="0" w:color="C9DA92" w:themeColor="accent6" w:themeTint="98"/>
        </w:tcBorders>
      </w:tcPr>
    </w:tblStylePr>
    <w:tblStylePr w:type="firstCol">
      <w:rPr>
        <w:b/>
        <w:color w:val="C9DA92" w:themeColor="accent6" w:themeTint="98" w:themeShade="95"/>
      </w:rPr>
    </w:tblStylePr>
    <w:tblStylePr w:type="lastCol">
      <w:rPr>
        <w:b/>
        <w:color w:val="C9DA92" w:themeColor="accent6" w:themeTint="98" w:themeShade="95"/>
      </w:rPr>
    </w:tblStylePr>
    <w:tblStylePr w:type="band1Vert">
      <w:tblPr/>
      <w:tcPr>
        <w:shd w:val="clear" w:color="auto" w:fill="E8EFD1" w:themeFill="accent6" w:themeFillTint="40"/>
      </w:tcPr>
    </w:tblStylePr>
    <w:tblStylePr w:type="band1Horz">
      <w:rPr>
        <w:rFonts w:ascii="Arial" w:hAnsi="Arial"/>
        <w:color w:val="C9DA92" w:themeColor="accent6" w:themeTint="98" w:themeShade="95"/>
        <w:sz w:val="22"/>
      </w:rPr>
      <w:tblPr/>
      <w:tcPr>
        <w:shd w:val="clear" w:color="auto" w:fill="E8EFD1" w:themeFill="accent6" w:themeFillTint="40"/>
      </w:tcPr>
    </w:tblStylePr>
    <w:tblStylePr w:type="band2Horz">
      <w:rPr>
        <w:rFonts w:ascii="Arial" w:hAnsi="Arial"/>
        <w:color w:val="C9DA92" w:themeColor="accent6" w:themeTint="98" w:themeShade="95"/>
        <w:sz w:val="22"/>
      </w:rPr>
    </w:tblStylePr>
  </w:style>
  <w:style w:type="table" w:customStyle="1" w:styleId="TableauListe7Couleur1">
    <w:name w:val="Tableau Liste 7 Couleur1"/>
    <w:basedOn w:val="TableauNormal"/>
    <w:uiPriority w:val="99"/>
    <w:rsid w:val="00B30EE6"/>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rsid w:val="00B30EE6"/>
    <w:pPr>
      <w:spacing w:after="0" w:line="240" w:lineRule="auto"/>
    </w:pPr>
    <w:tblPr>
      <w:tblStyleRowBandSize w:val="1"/>
      <w:tblStyleColBandSize w:val="1"/>
      <w:tblBorders>
        <w:right w:val="single" w:sz="4" w:space="0" w:color="0F6FC6" w:themeColor="accent1"/>
      </w:tblBorders>
    </w:tblPr>
    <w:tblStylePr w:type="firstRow">
      <w:rPr>
        <w:rFonts w:ascii="Arial" w:hAnsi="Arial"/>
        <w:i/>
        <w:color w:val="084073" w:themeColor="accent1" w:themeShade="95"/>
        <w:sz w:val="22"/>
      </w:rPr>
      <w:tblPr/>
      <w:tcPr>
        <w:tcBorders>
          <w:top w:val="none" w:sz="0" w:space="0" w:color="auto"/>
          <w:left w:val="none" w:sz="0" w:space="0" w:color="auto"/>
          <w:bottom w:val="single" w:sz="4" w:space="0" w:color="0F6FC6" w:themeColor="accent1"/>
          <w:right w:val="none" w:sz="0" w:space="0" w:color="auto"/>
        </w:tcBorders>
        <w:shd w:val="clear" w:color="auto" w:fill="FFFFFF" w:themeFill="light1"/>
      </w:tcPr>
    </w:tblStylePr>
    <w:tblStylePr w:type="lastRow">
      <w:rPr>
        <w:rFonts w:ascii="Arial" w:hAnsi="Arial"/>
        <w:i/>
        <w:color w:val="084073" w:themeColor="accent1" w:themeShade="95"/>
        <w:sz w:val="22"/>
      </w:rPr>
      <w:tblPr/>
      <w:tcPr>
        <w:tcBorders>
          <w:top w:val="single" w:sz="4" w:space="0" w:color="0F6FC6"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84073" w:themeColor="accent1" w:themeShade="95"/>
        <w:sz w:val="22"/>
      </w:rPr>
      <w:tblPr/>
      <w:tcPr>
        <w:tcBorders>
          <w:top w:val="none" w:sz="0" w:space="0" w:color="auto"/>
          <w:left w:val="none" w:sz="0" w:space="0" w:color="auto"/>
          <w:bottom w:val="none" w:sz="0" w:space="0" w:color="auto"/>
          <w:right w:val="single" w:sz="4" w:space="0" w:color="0F6FC6" w:themeColor="accent1"/>
        </w:tcBorders>
        <w:shd w:val="clear" w:color="auto" w:fill="FFFFFF"/>
      </w:tcPr>
    </w:tblStylePr>
    <w:tblStylePr w:type="lastCol">
      <w:rPr>
        <w:rFonts w:ascii="Arial" w:hAnsi="Arial"/>
        <w:i/>
        <w:color w:val="084073" w:themeColor="accent1" w:themeShade="95"/>
        <w:sz w:val="22"/>
      </w:rPr>
      <w:tblPr/>
      <w:tcPr>
        <w:tcBorders>
          <w:top w:val="none" w:sz="0" w:space="0" w:color="auto"/>
          <w:left w:val="single" w:sz="4" w:space="0" w:color="0F6FC6" w:themeColor="accent1"/>
          <w:bottom w:val="none" w:sz="0" w:space="0" w:color="auto"/>
          <w:right w:val="none" w:sz="0" w:space="0" w:color="auto"/>
        </w:tcBorders>
        <w:shd w:val="clear" w:color="auto" w:fill="FFFFFF"/>
      </w:tcPr>
    </w:tblStylePr>
    <w:tblStylePr w:type="band1Vert">
      <w:tblPr/>
      <w:tcPr>
        <w:shd w:val="clear" w:color="auto" w:fill="B9DBF9" w:themeFill="accent1" w:themeFillTint="40"/>
      </w:tcPr>
    </w:tblStylePr>
    <w:tblStylePr w:type="band1Horz">
      <w:rPr>
        <w:rFonts w:ascii="Arial" w:hAnsi="Arial"/>
        <w:color w:val="084073" w:themeColor="accent1" w:themeShade="95"/>
        <w:sz w:val="22"/>
      </w:rPr>
      <w:tblPr/>
      <w:tcPr>
        <w:shd w:val="clear" w:color="auto" w:fill="B9DBF9" w:themeFill="accent1" w:themeFillTint="40"/>
      </w:tcPr>
    </w:tblStylePr>
    <w:tblStylePr w:type="band2Horz">
      <w:rPr>
        <w:rFonts w:ascii="Arial" w:hAnsi="Arial"/>
        <w:color w:val="084073" w:themeColor="accent1" w:themeShade="95"/>
        <w:sz w:val="22"/>
      </w:rPr>
    </w:tblStylePr>
  </w:style>
  <w:style w:type="table" w:customStyle="1" w:styleId="ListTable7Colorful-Accent2">
    <w:name w:val="List Table 7 Colorful - Accent 2"/>
    <w:basedOn w:val="TableauNormal"/>
    <w:uiPriority w:val="99"/>
    <w:rsid w:val="00B30EE6"/>
    <w:pPr>
      <w:spacing w:after="0" w:line="240" w:lineRule="auto"/>
    </w:pPr>
    <w:tblPr>
      <w:tblStyleRowBandSize w:val="1"/>
      <w:tblStyleColBandSize w:val="1"/>
      <w:tblBorders>
        <w:right w:val="single" w:sz="4" w:space="0" w:color="51CEFF" w:themeColor="accent2" w:themeTint="97"/>
      </w:tblBorders>
    </w:tblPr>
    <w:tblStylePr w:type="firstRow">
      <w:rPr>
        <w:rFonts w:ascii="Arial" w:hAnsi="Arial"/>
        <w:i/>
        <w:color w:val="51CEFF" w:themeColor="accent2" w:themeTint="97" w:themeShade="95"/>
        <w:sz w:val="22"/>
      </w:rPr>
      <w:tblPr/>
      <w:tcPr>
        <w:tcBorders>
          <w:top w:val="none" w:sz="0" w:space="0" w:color="auto"/>
          <w:left w:val="none" w:sz="0" w:space="0" w:color="auto"/>
          <w:bottom w:val="single" w:sz="4" w:space="0" w:color="51CEFF" w:themeColor="accent2" w:themeTint="97"/>
          <w:right w:val="none" w:sz="0" w:space="0" w:color="auto"/>
        </w:tcBorders>
        <w:shd w:val="clear" w:color="auto" w:fill="FFFFFF" w:themeFill="light1"/>
      </w:tcPr>
    </w:tblStylePr>
    <w:tblStylePr w:type="lastRow">
      <w:rPr>
        <w:rFonts w:ascii="Arial" w:hAnsi="Arial"/>
        <w:i/>
        <w:color w:val="51CEFF" w:themeColor="accent2" w:themeTint="97" w:themeShade="95"/>
        <w:sz w:val="22"/>
      </w:rPr>
      <w:tblPr/>
      <w:tcPr>
        <w:tcBorders>
          <w:top w:val="single" w:sz="4" w:space="0" w:color="51CEFF"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1CEFF" w:themeColor="accent2" w:themeTint="97" w:themeShade="95"/>
        <w:sz w:val="22"/>
      </w:rPr>
      <w:tblPr/>
      <w:tcPr>
        <w:tcBorders>
          <w:top w:val="none" w:sz="0" w:space="0" w:color="auto"/>
          <w:left w:val="none" w:sz="0" w:space="0" w:color="auto"/>
          <w:bottom w:val="none" w:sz="0" w:space="0" w:color="auto"/>
          <w:right w:val="single" w:sz="4" w:space="0" w:color="51CEFF" w:themeColor="accent2" w:themeTint="97"/>
        </w:tcBorders>
        <w:shd w:val="clear" w:color="auto" w:fill="FFFFFF"/>
      </w:tcPr>
    </w:tblStylePr>
    <w:tblStylePr w:type="lastCol">
      <w:rPr>
        <w:rFonts w:ascii="Arial" w:hAnsi="Arial"/>
        <w:i/>
        <w:color w:val="51CEFF" w:themeColor="accent2" w:themeTint="97" w:themeShade="95"/>
        <w:sz w:val="22"/>
      </w:rPr>
      <w:tblPr/>
      <w:tcPr>
        <w:tcBorders>
          <w:top w:val="none" w:sz="0" w:space="0" w:color="auto"/>
          <w:left w:val="single" w:sz="4" w:space="0" w:color="51CEFF" w:themeColor="accent2" w:themeTint="97"/>
          <w:bottom w:val="none" w:sz="0" w:space="0" w:color="auto"/>
          <w:right w:val="none" w:sz="0" w:space="0" w:color="auto"/>
        </w:tcBorders>
        <w:shd w:val="clear" w:color="auto" w:fill="FFFFFF"/>
      </w:tcPr>
    </w:tblStylePr>
    <w:tblStylePr w:type="band1Vert">
      <w:tblPr/>
      <w:tcPr>
        <w:shd w:val="clear" w:color="auto" w:fill="B5EAFF" w:themeFill="accent2" w:themeFillTint="40"/>
      </w:tcPr>
    </w:tblStylePr>
    <w:tblStylePr w:type="band1Horz">
      <w:rPr>
        <w:rFonts w:ascii="Arial" w:hAnsi="Arial"/>
        <w:color w:val="51CEFF" w:themeColor="accent2" w:themeTint="97" w:themeShade="95"/>
        <w:sz w:val="22"/>
      </w:rPr>
      <w:tblPr/>
      <w:tcPr>
        <w:shd w:val="clear" w:color="auto" w:fill="B5EAFF" w:themeFill="accent2" w:themeFillTint="40"/>
      </w:tcPr>
    </w:tblStylePr>
    <w:tblStylePr w:type="band2Horz">
      <w:rPr>
        <w:rFonts w:ascii="Arial" w:hAnsi="Arial"/>
        <w:color w:val="51CEFF" w:themeColor="accent2" w:themeTint="97" w:themeShade="95"/>
        <w:sz w:val="22"/>
      </w:rPr>
    </w:tblStylePr>
  </w:style>
  <w:style w:type="table" w:customStyle="1" w:styleId="ListTable7Colorful-Accent3">
    <w:name w:val="List Table 7 Colorful - Accent 3"/>
    <w:basedOn w:val="TableauNormal"/>
    <w:uiPriority w:val="99"/>
    <w:rsid w:val="00B30EE6"/>
    <w:pPr>
      <w:spacing w:after="0" w:line="240" w:lineRule="auto"/>
    </w:pPr>
    <w:tblPr>
      <w:tblStyleRowBandSize w:val="1"/>
      <w:tblStyleColBandSize w:val="1"/>
      <w:tblBorders>
        <w:right w:val="single" w:sz="4" w:space="0" w:color="5EEFF7" w:themeColor="accent3" w:themeTint="98"/>
      </w:tblBorders>
    </w:tblPr>
    <w:tblStylePr w:type="firstRow">
      <w:rPr>
        <w:rFonts w:ascii="Arial" w:hAnsi="Arial"/>
        <w:i/>
        <w:color w:val="5EEFF7" w:themeColor="accent3" w:themeTint="98" w:themeShade="95"/>
        <w:sz w:val="22"/>
      </w:rPr>
      <w:tblPr/>
      <w:tcPr>
        <w:tcBorders>
          <w:top w:val="none" w:sz="0" w:space="0" w:color="auto"/>
          <w:left w:val="none" w:sz="0" w:space="0" w:color="auto"/>
          <w:bottom w:val="single" w:sz="4" w:space="0" w:color="5EEFF7" w:themeColor="accent3" w:themeTint="98"/>
          <w:right w:val="none" w:sz="0" w:space="0" w:color="auto"/>
        </w:tcBorders>
        <w:shd w:val="clear" w:color="auto" w:fill="FFFFFF" w:themeFill="light1"/>
      </w:tcPr>
    </w:tblStylePr>
    <w:tblStylePr w:type="lastRow">
      <w:rPr>
        <w:rFonts w:ascii="Arial" w:hAnsi="Arial"/>
        <w:i/>
        <w:color w:val="5EEFF7" w:themeColor="accent3" w:themeTint="98" w:themeShade="95"/>
        <w:sz w:val="22"/>
      </w:rPr>
      <w:tblPr/>
      <w:tcPr>
        <w:tcBorders>
          <w:top w:val="single" w:sz="4" w:space="0" w:color="5EEFF7"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EEFF7" w:themeColor="accent3" w:themeTint="98" w:themeShade="95"/>
        <w:sz w:val="22"/>
      </w:rPr>
      <w:tblPr/>
      <w:tcPr>
        <w:tcBorders>
          <w:top w:val="none" w:sz="0" w:space="0" w:color="auto"/>
          <w:left w:val="none" w:sz="0" w:space="0" w:color="auto"/>
          <w:bottom w:val="none" w:sz="0" w:space="0" w:color="auto"/>
          <w:right w:val="single" w:sz="4" w:space="0" w:color="5EEFF7" w:themeColor="accent3" w:themeTint="98"/>
        </w:tcBorders>
        <w:shd w:val="clear" w:color="auto" w:fill="FFFFFF"/>
      </w:tcPr>
    </w:tblStylePr>
    <w:tblStylePr w:type="lastCol">
      <w:rPr>
        <w:rFonts w:ascii="Arial" w:hAnsi="Arial"/>
        <w:i/>
        <w:color w:val="5EEFF7" w:themeColor="accent3" w:themeTint="98" w:themeShade="95"/>
        <w:sz w:val="22"/>
      </w:rPr>
      <w:tblPr/>
      <w:tcPr>
        <w:tcBorders>
          <w:top w:val="none" w:sz="0" w:space="0" w:color="auto"/>
          <w:left w:val="single" w:sz="4" w:space="0" w:color="5EEFF7" w:themeColor="accent3" w:themeTint="98"/>
          <w:bottom w:val="none" w:sz="0" w:space="0" w:color="auto"/>
          <w:right w:val="none" w:sz="0" w:space="0" w:color="auto"/>
        </w:tcBorders>
        <w:shd w:val="clear" w:color="auto" w:fill="FFFFFF"/>
      </w:tcPr>
    </w:tblStylePr>
    <w:tblStylePr w:type="band1Vert">
      <w:tblPr/>
      <w:tcPr>
        <w:shd w:val="clear" w:color="auto" w:fill="BBF8FB" w:themeFill="accent3" w:themeFillTint="40"/>
      </w:tcPr>
    </w:tblStylePr>
    <w:tblStylePr w:type="band1Horz">
      <w:rPr>
        <w:rFonts w:ascii="Arial" w:hAnsi="Arial"/>
        <w:color w:val="5EEFF7" w:themeColor="accent3" w:themeTint="98" w:themeShade="95"/>
        <w:sz w:val="22"/>
      </w:rPr>
      <w:tblPr/>
      <w:tcPr>
        <w:shd w:val="clear" w:color="auto" w:fill="BBF8FB" w:themeFill="accent3" w:themeFillTint="40"/>
      </w:tcPr>
    </w:tblStylePr>
    <w:tblStylePr w:type="band2Horz">
      <w:rPr>
        <w:rFonts w:ascii="Arial" w:hAnsi="Arial"/>
        <w:color w:val="5EEFF7" w:themeColor="accent3" w:themeTint="98" w:themeShade="95"/>
        <w:sz w:val="22"/>
      </w:rPr>
    </w:tblStylePr>
  </w:style>
  <w:style w:type="table" w:customStyle="1" w:styleId="ListTable7Colorful-Accent4">
    <w:name w:val="List Table 7 Colorful - Accent 4"/>
    <w:basedOn w:val="TableauNormal"/>
    <w:uiPriority w:val="99"/>
    <w:rsid w:val="00B30EE6"/>
    <w:pPr>
      <w:spacing w:after="0" w:line="240" w:lineRule="auto"/>
    </w:pPr>
    <w:tblPr>
      <w:tblStyleRowBandSize w:val="1"/>
      <w:tblStyleColBandSize w:val="1"/>
      <w:tblBorders>
        <w:right w:val="single" w:sz="4" w:space="0" w:color="5EF2C9" w:themeColor="accent4" w:themeTint="9A"/>
      </w:tblBorders>
    </w:tblPr>
    <w:tblStylePr w:type="firstRow">
      <w:rPr>
        <w:rFonts w:ascii="Arial" w:hAnsi="Arial"/>
        <w:i/>
        <w:color w:val="5EF2C9" w:themeColor="accent4" w:themeTint="9A" w:themeShade="95"/>
        <w:sz w:val="22"/>
      </w:rPr>
      <w:tblPr/>
      <w:tcPr>
        <w:tcBorders>
          <w:top w:val="none" w:sz="0" w:space="0" w:color="auto"/>
          <w:left w:val="none" w:sz="0" w:space="0" w:color="auto"/>
          <w:bottom w:val="single" w:sz="4" w:space="0" w:color="5EF2C9" w:themeColor="accent4" w:themeTint="9A"/>
          <w:right w:val="none" w:sz="0" w:space="0" w:color="auto"/>
        </w:tcBorders>
        <w:shd w:val="clear" w:color="auto" w:fill="FFFFFF" w:themeFill="light1"/>
      </w:tcPr>
    </w:tblStylePr>
    <w:tblStylePr w:type="lastRow">
      <w:rPr>
        <w:rFonts w:ascii="Arial" w:hAnsi="Arial"/>
        <w:i/>
        <w:color w:val="5EF2C9" w:themeColor="accent4" w:themeTint="9A" w:themeShade="95"/>
        <w:sz w:val="22"/>
      </w:rPr>
      <w:tblPr/>
      <w:tcPr>
        <w:tcBorders>
          <w:top w:val="single" w:sz="4" w:space="0" w:color="5EF2C9"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EF2C9" w:themeColor="accent4" w:themeTint="9A" w:themeShade="95"/>
        <w:sz w:val="22"/>
      </w:rPr>
      <w:tblPr/>
      <w:tcPr>
        <w:tcBorders>
          <w:top w:val="none" w:sz="0" w:space="0" w:color="auto"/>
          <w:left w:val="none" w:sz="0" w:space="0" w:color="auto"/>
          <w:bottom w:val="none" w:sz="0" w:space="0" w:color="auto"/>
          <w:right w:val="single" w:sz="4" w:space="0" w:color="5EF2C9" w:themeColor="accent4" w:themeTint="9A"/>
        </w:tcBorders>
        <w:shd w:val="clear" w:color="auto" w:fill="FFFFFF"/>
      </w:tcPr>
    </w:tblStylePr>
    <w:tblStylePr w:type="lastCol">
      <w:rPr>
        <w:rFonts w:ascii="Arial" w:hAnsi="Arial"/>
        <w:i/>
        <w:color w:val="5EF2C9" w:themeColor="accent4" w:themeTint="9A" w:themeShade="95"/>
        <w:sz w:val="22"/>
      </w:rPr>
      <w:tblPr/>
      <w:tcPr>
        <w:tcBorders>
          <w:top w:val="none" w:sz="0" w:space="0" w:color="auto"/>
          <w:left w:val="single" w:sz="4" w:space="0" w:color="5EF2C9" w:themeColor="accent4" w:themeTint="9A"/>
          <w:bottom w:val="none" w:sz="0" w:space="0" w:color="auto"/>
          <w:right w:val="none" w:sz="0" w:space="0" w:color="auto"/>
        </w:tcBorders>
        <w:shd w:val="clear" w:color="auto" w:fill="FFFFFF"/>
      </w:tcPr>
    </w:tblStylePr>
    <w:tblStylePr w:type="band1Vert">
      <w:tblPr/>
      <w:tcPr>
        <w:shd w:val="clear" w:color="auto" w:fill="BBF9E8" w:themeFill="accent4" w:themeFillTint="40"/>
      </w:tcPr>
    </w:tblStylePr>
    <w:tblStylePr w:type="band1Horz">
      <w:rPr>
        <w:rFonts w:ascii="Arial" w:hAnsi="Arial"/>
        <w:color w:val="5EF2C9" w:themeColor="accent4" w:themeTint="9A" w:themeShade="95"/>
        <w:sz w:val="22"/>
      </w:rPr>
      <w:tblPr/>
      <w:tcPr>
        <w:shd w:val="clear" w:color="auto" w:fill="BBF9E8" w:themeFill="accent4" w:themeFillTint="40"/>
      </w:tcPr>
    </w:tblStylePr>
    <w:tblStylePr w:type="band2Horz">
      <w:rPr>
        <w:rFonts w:ascii="Arial" w:hAnsi="Arial"/>
        <w:color w:val="5EF2C9" w:themeColor="accent4" w:themeTint="9A" w:themeShade="95"/>
        <w:sz w:val="22"/>
      </w:rPr>
    </w:tblStylePr>
  </w:style>
  <w:style w:type="table" w:customStyle="1" w:styleId="ListTable7Colorful-Accent5">
    <w:name w:val="List Table 7 Colorful - Accent 5"/>
    <w:basedOn w:val="TableauNormal"/>
    <w:uiPriority w:val="99"/>
    <w:rsid w:val="00B30EE6"/>
    <w:pPr>
      <w:spacing w:after="0" w:line="240" w:lineRule="auto"/>
    </w:pPr>
    <w:tblPr>
      <w:tblStyleRowBandSize w:val="1"/>
      <w:tblStyleColBandSize w:val="1"/>
      <w:tblBorders>
        <w:right w:val="single" w:sz="4" w:space="0" w:color="AFDFA0" w:themeColor="accent5" w:themeTint="9A"/>
      </w:tblBorders>
    </w:tblPr>
    <w:tblStylePr w:type="firstRow">
      <w:rPr>
        <w:rFonts w:ascii="Arial" w:hAnsi="Arial"/>
        <w:i/>
        <w:color w:val="AFDFA0" w:themeColor="accent5" w:themeTint="9A" w:themeShade="95"/>
        <w:sz w:val="22"/>
      </w:rPr>
      <w:tblPr/>
      <w:tcPr>
        <w:tcBorders>
          <w:top w:val="none" w:sz="0" w:space="0" w:color="auto"/>
          <w:left w:val="none" w:sz="0" w:space="0" w:color="auto"/>
          <w:bottom w:val="single" w:sz="4" w:space="0" w:color="AFDFA0" w:themeColor="accent5" w:themeTint="9A"/>
          <w:right w:val="none" w:sz="0" w:space="0" w:color="auto"/>
        </w:tcBorders>
        <w:shd w:val="clear" w:color="auto" w:fill="FFFFFF" w:themeFill="light1"/>
      </w:tcPr>
    </w:tblStylePr>
    <w:tblStylePr w:type="lastRow">
      <w:rPr>
        <w:rFonts w:ascii="Arial" w:hAnsi="Arial"/>
        <w:i/>
        <w:color w:val="AFDFA0" w:themeColor="accent5" w:themeTint="9A" w:themeShade="95"/>
        <w:sz w:val="22"/>
      </w:rPr>
      <w:tblPr/>
      <w:tcPr>
        <w:tcBorders>
          <w:top w:val="single" w:sz="4" w:space="0" w:color="AFDFA0"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FDFA0" w:themeColor="accent5" w:themeTint="9A" w:themeShade="95"/>
        <w:sz w:val="22"/>
      </w:rPr>
      <w:tblPr/>
      <w:tcPr>
        <w:tcBorders>
          <w:top w:val="none" w:sz="0" w:space="0" w:color="auto"/>
          <w:left w:val="none" w:sz="0" w:space="0" w:color="auto"/>
          <w:bottom w:val="none" w:sz="0" w:space="0" w:color="auto"/>
          <w:right w:val="single" w:sz="4" w:space="0" w:color="AFDFA0" w:themeColor="accent5" w:themeTint="9A"/>
        </w:tcBorders>
        <w:shd w:val="clear" w:color="auto" w:fill="FFFFFF"/>
      </w:tcPr>
    </w:tblStylePr>
    <w:tblStylePr w:type="lastCol">
      <w:rPr>
        <w:rFonts w:ascii="Arial" w:hAnsi="Arial"/>
        <w:i/>
        <w:color w:val="AFDFA0" w:themeColor="accent5" w:themeTint="9A" w:themeShade="95"/>
        <w:sz w:val="22"/>
      </w:rPr>
      <w:tblPr/>
      <w:tcPr>
        <w:tcBorders>
          <w:top w:val="none" w:sz="0" w:space="0" w:color="auto"/>
          <w:left w:val="single" w:sz="4" w:space="0" w:color="AFDFA0" w:themeColor="accent5" w:themeTint="9A"/>
          <w:bottom w:val="none" w:sz="0" w:space="0" w:color="auto"/>
          <w:right w:val="none" w:sz="0" w:space="0" w:color="auto"/>
        </w:tcBorders>
        <w:shd w:val="clear" w:color="auto" w:fill="FFFFFF"/>
      </w:tcPr>
    </w:tblStylePr>
    <w:tblStylePr w:type="band1Vert">
      <w:tblPr/>
      <w:tcPr>
        <w:shd w:val="clear" w:color="auto" w:fill="DDF1D7" w:themeFill="accent5" w:themeFillTint="40"/>
      </w:tcPr>
    </w:tblStylePr>
    <w:tblStylePr w:type="band1Horz">
      <w:rPr>
        <w:rFonts w:ascii="Arial" w:hAnsi="Arial"/>
        <w:color w:val="AFDFA0" w:themeColor="accent5" w:themeTint="9A" w:themeShade="95"/>
        <w:sz w:val="22"/>
      </w:rPr>
      <w:tblPr/>
      <w:tcPr>
        <w:shd w:val="clear" w:color="auto" w:fill="DDF1D7" w:themeFill="accent5" w:themeFillTint="40"/>
      </w:tcPr>
    </w:tblStylePr>
    <w:tblStylePr w:type="band2Horz">
      <w:rPr>
        <w:rFonts w:ascii="Arial" w:hAnsi="Arial"/>
        <w:color w:val="AFDFA0" w:themeColor="accent5" w:themeTint="9A" w:themeShade="95"/>
        <w:sz w:val="22"/>
      </w:rPr>
    </w:tblStylePr>
  </w:style>
  <w:style w:type="table" w:customStyle="1" w:styleId="ListTable7Colorful-Accent6">
    <w:name w:val="List Table 7 Colorful - Accent 6"/>
    <w:basedOn w:val="TableauNormal"/>
    <w:uiPriority w:val="99"/>
    <w:rsid w:val="00B30EE6"/>
    <w:pPr>
      <w:spacing w:after="0" w:line="240" w:lineRule="auto"/>
    </w:pPr>
    <w:tblPr>
      <w:tblStyleRowBandSize w:val="1"/>
      <w:tblStyleColBandSize w:val="1"/>
      <w:tblBorders>
        <w:right w:val="single" w:sz="4" w:space="0" w:color="C9DA92" w:themeColor="accent6" w:themeTint="98"/>
      </w:tblBorders>
    </w:tblPr>
    <w:tblStylePr w:type="firstRow">
      <w:rPr>
        <w:rFonts w:ascii="Arial" w:hAnsi="Arial"/>
        <w:i/>
        <w:color w:val="C9DA92" w:themeColor="accent6" w:themeTint="98" w:themeShade="95"/>
        <w:sz w:val="22"/>
      </w:rPr>
      <w:tblPr/>
      <w:tcPr>
        <w:tcBorders>
          <w:top w:val="none" w:sz="0" w:space="0" w:color="auto"/>
          <w:left w:val="none" w:sz="0" w:space="0" w:color="auto"/>
          <w:bottom w:val="single" w:sz="4" w:space="0" w:color="C9DA92" w:themeColor="accent6" w:themeTint="98"/>
          <w:right w:val="none" w:sz="0" w:space="0" w:color="auto"/>
        </w:tcBorders>
        <w:shd w:val="clear" w:color="auto" w:fill="FFFFFF" w:themeFill="light1"/>
      </w:tcPr>
    </w:tblStylePr>
    <w:tblStylePr w:type="lastRow">
      <w:rPr>
        <w:rFonts w:ascii="Arial" w:hAnsi="Arial"/>
        <w:i/>
        <w:color w:val="C9DA92" w:themeColor="accent6" w:themeTint="98" w:themeShade="95"/>
        <w:sz w:val="22"/>
      </w:rPr>
      <w:tblPr/>
      <w:tcPr>
        <w:tcBorders>
          <w:top w:val="single" w:sz="4" w:space="0" w:color="C9DA92"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9DA92" w:themeColor="accent6" w:themeTint="98" w:themeShade="95"/>
        <w:sz w:val="22"/>
      </w:rPr>
      <w:tblPr/>
      <w:tcPr>
        <w:tcBorders>
          <w:top w:val="none" w:sz="0" w:space="0" w:color="auto"/>
          <w:left w:val="none" w:sz="0" w:space="0" w:color="auto"/>
          <w:bottom w:val="none" w:sz="0" w:space="0" w:color="auto"/>
          <w:right w:val="single" w:sz="4" w:space="0" w:color="C9DA92" w:themeColor="accent6" w:themeTint="98"/>
        </w:tcBorders>
        <w:shd w:val="clear" w:color="auto" w:fill="FFFFFF"/>
      </w:tcPr>
    </w:tblStylePr>
    <w:tblStylePr w:type="lastCol">
      <w:rPr>
        <w:rFonts w:ascii="Arial" w:hAnsi="Arial"/>
        <w:i/>
        <w:color w:val="C9DA92" w:themeColor="accent6" w:themeTint="98" w:themeShade="95"/>
        <w:sz w:val="22"/>
      </w:rPr>
      <w:tblPr/>
      <w:tcPr>
        <w:tcBorders>
          <w:top w:val="none" w:sz="0" w:space="0" w:color="auto"/>
          <w:left w:val="single" w:sz="4" w:space="0" w:color="C9DA92" w:themeColor="accent6" w:themeTint="98"/>
          <w:bottom w:val="none" w:sz="0" w:space="0" w:color="auto"/>
          <w:right w:val="none" w:sz="0" w:space="0" w:color="auto"/>
        </w:tcBorders>
        <w:shd w:val="clear" w:color="auto" w:fill="FFFFFF"/>
      </w:tcPr>
    </w:tblStylePr>
    <w:tblStylePr w:type="band1Vert">
      <w:tblPr/>
      <w:tcPr>
        <w:shd w:val="clear" w:color="auto" w:fill="E8EFD1" w:themeFill="accent6" w:themeFillTint="40"/>
      </w:tcPr>
    </w:tblStylePr>
    <w:tblStylePr w:type="band1Horz">
      <w:rPr>
        <w:rFonts w:ascii="Arial" w:hAnsi="Arial"/>
        <w:color w:val="C9DA92" w:themeColor="accent6" w:themeTint="98" w:themeShade="95"/>
        <w:sz w:val="22"/>
      </w:rPr>
      <w:tblPr/>
      <w:tcPr>
        <w:shd w:val="clear" w:color="auto" w:fill="E8EFD1" w:themeFill="accent6" w:themeFillTint="40"/>
      </w:tcPr>
    </w:tblStylePr>
    <w:tblStylePr w:type="band2Horz">
      <w:rPr>
        <w:rFonts w:ascii="Arial" w:hAnsi="Arial"/>
        <w:color w:val="C9DA92" w:themeColor="accent6" w:themeTint="98" w:themeShade="95"/>
        <w:sz w:val="22"/>
      </w:rPr>
    </w:tblStylePr>
  </w:style>
  <w:style w:type="table" w:customStyle="1" w:styleId="Lined-Accent">
    <w:name w:val="Lined - Accent"/>
    <w:basedOn w:val="TableauNormal"/>
    <w:uiPriority w:val="99"/>
    <w:rsid w:val="00B30EE6"/>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auNormal"/>
    <w:uiPriority w:val="99"/>
    <w:rsid w:val="00B30EE6"/>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107BDC" w:themeFill="accent1" w:themeFillTint="EA"/>
      </w:tcPr>
    </w:tblStylePr>
    <w:tblStylePr w:type="lastRow">
      <w:rPr>
        <w:rFonts w:ascii="Arial" w:hAnsi="Arial"/>
        <w:color w:val="F2F2F2"/>
        <w:sz w:val="22"/>
      </w:rPr>
      <w:tblPr/>
      <w:tcPr>
        <w:shd w:val="clear" w:color="auto" w:fill="107BDC" w:themeFill="accent1" w:themeFillTint="EA"/>
      </w:tcPr>
    </w:tblStylePr>
    <w:tblStylePr w:type="firstCol">
      <w:rPr>
        <w:rFonts w:ascii="Arial" w:hAnsi="Arial"/>
        <w:color w:val="F2F2F2"/>
        <w:sz w:val="22"/>
      </w:rPr>
      <w:tblPr/>
      <w:tcPr>
        <w:shd w:val="clear" w:color="auto" w:fill="107BDC" w:themeFill="accent1" w:themeFillTint="EA"/>
      </w:tcPr>
    </w:tblStylePr>
    <w:tblStylePr w:type="lastCol">
      <w:rPr>
        <w:rFonts w:ascii="Arial" w:hAnsi="Arial"/>
        <w:color w:val="F2F2F2"/>
        <w:sz w:val="22"/>
      </w:rPr>
      <w:tblPr/>
      <w:tcPr>
        <w:shd w:val="clear" w:color="auto" w:fill="107BDC"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A8D2F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A8D2F8" w:themeFill="accent1" w:themeFillTint="50"/>
      </w:tcPr>
    </w:tblStylePr>
  </w:style>
  <w:style w:type="table" w:customStyle="1" w:styleId="Lined-Accent2">
    <w:name w:val="Lined - Accent 2"/>
    <w:basedOn w:val="TableauNormal"/>
    <w:uiPriority w:val="99"/>
    <w:rsid w:val="00B30EE6"/>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1CEFF" w:themeFill="accent2" w:themeFillTint="97"/>
      </w:tcPr>
    </w:tblStylePr>
    <w:tblStylePr w:type="lastRow">
      <w:rPr>
        <w:rFonts w:ascii="Arial" w:hAnsi="Arial"/>
        <w:color w:val="F2F2F2"/>
        <w:sz w:val="22"/>
      </w:rPr>
      <w:tblPr/>
      <w:tcPr>
        <w:shd w:val="clear" w:color="auto" w:fill="51CEFF" w:themeFill="accent2" w:themeFillTint="97"/>
      </w:tcPr>
    </w:tblStylePr>
    <w:tblStylePr w:type="firstCol">
      <w:rPr>
        <w:rFonts w:ascii="Arial" w:hAnsi="Arial"/>
        <w:color w:val="F2F2F2"/>
        <w:sz w:val="22"/>
      </w:rPr>
      <w:tblPr/>
      <w:tcPr>
        <w:shd w:val="clear" w:color="auto" w:fill="51CEFF" w:themeFill="accent2" w:themeFillTint="97"/>
      </w:tcPr>
    </w:tblStylePr>
    <w:tblStylePr w:type="lastCol">
      <w:rPr>
        <w:rFonts w:ascii="Arial" w:hAnsi="Arial"/>
        <w:color w:val="F2F2F2"/>
        <w:sz w:val="22"/>
      </w:rPr>
      <w:tblPr/>
      <w:tcPr>
        <w:shd w:val="clear" w:color="auto" w:fill="51CE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C5EE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C5EEFF" w:themeFill="accent2" w:themeFillTint="32"/>
      </w:tcPr>
    </w:tblStylePr>
  </w:style>
  <w:style w:type="table" w:customStyle="1" w:styleId="Lined-Accent3">
    <w:name w:val="Lined - Accent 3"/>
    <w:basedOn w:val="TableauNormal"/>
    <w:uiPriority w:val="99"/>
    <w:rsid w:val="00B30EE6"/>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0BD0D9" w:themeFill="accent3" w:themeFillTint="FE"/>
      </w:tcPr>
    </w:tblStylePr>
    <w:tblStylePr w:type="lastRow">
      <w:rPr>
        <w:rFonts w:ascii="Arial" w:hAnsi="Arial"/>
        <w:color w:val="F2F2F2"/>
        <w:sz w:val="22"/>
      </w:rPr>
      <w:tblPr/>
      <w:tcPr>
        <w:shd w:val="clear" w:color="auto" w:fill="0BD0D9" w:themeFill="accent3" w:themeFillTint="FE"/>
      </w:tcPr>
    </w:tblStylePr>
    <w:tblStylePr w:type="firstCol">
      <w:rPr>
        <w:rFonts w:ascii="Arial" w:hAnsi="Arial"/>
        <w:color w:val="F2F2F2"/>
        <w:sz w:val="22"/>
      </w:rPr>
      <w:tblPr/>
      <w:tcPr>
        <w:shd w:val="clear" w:color="auto" w:fill="0BD0D9" w:themeFill="accent3" w:themeFillTint="FE"/>
      </w:tcPr>
    </w:tblStylePr>
    <w:tblStylePr w:type="lastCol">
      <w:rPr>
        <w:rFonts w:ascii="Arial" w:hAnsi="Arial"/>
        <w:color w:val="F2F2F2"/>
        <w:sz w:val="22"/>
      </w:rPr>
      <w:tblPr/>
      <w:tcPr>
        <w:shd w:val="clear" w:color="auto" w:fill="0BD0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8F9F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9FC" w:themeFill="accent3" w:themeFillTint="34"/>
      </w:tcPr>
    </w:tblStylePr>
  </w:style>
  <w:style w:type="table" w:customStyle="1" w:styleId="Lined-Accent4">
    <w:name w:val="Lined - Accent 4"/>
    <w:basedOn w:val="TableauNormal"/>
    <w:uiPriority w:val="99"/>
    <w:rsid w:val="00B30EE6"/>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5EF2C9" w:themeFill="accent4" w:themeFillTint="9A"/>
      </w:tcPr>
    </w:tblStylePr>
    <w:tblStylePr w:type="lastRow">
      <w:rPr>
        <w:rFonts w:ascii="Arial" w:hAnsi="Arial"/>
        <w:color w:val="F2F2F2"/>
        <w:sz w:val="22"/>
      </w:rPr>
      <w:tblPr/>
      <w:tcPr>
        <w:shd w:val="clear" w:color="auto" w:fill="5EF2C9" w:themeFill="accent4" w:themeFillTint="9A"/>
      </w:tcPr>
    </w:tblStylePr>
    <w:tblStylePr w:type="firstCol">
      <w:rPr>
        <w:rFonts w:ascii="Arial" w:hAnsi="Arial"/>
        <w:color w:val="F2F2F2"/>
        <w:sz w:val="22"/>
      </w:rPr>
      <w:tblPr/>
      <w:tcPr>
        <w:shd w:val="clear" w:color="auto" w:fill="5EF2C9" w:themeFill="accent4" w:themeFillTint="9A"/>
      </w:tcPr>
    </w:tblStylePr>
    <w:tblStylePr w:type="lastCol">
      <w:rPr>
        <w:rFonts w:ascii="Arial" w:hAnsi="Arial"/>
        <w:color w:val="F2F2F2"/>
        <w:sz w:val="22"/>
      </w:rPr>
      <w:tblPr/>
      <w:tcPr>
        <w:shd w:val="clear" w:color="auto" w:fill="5EF2C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C8FAE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AED" w:themeFill="accent4" w:themeFillTint="34"/>
      </w:tcPr>
    </w:tblStylePr>
  </w:style>
  <w:style w:type="table" w:customStyle="1" w:styleId="Lined-Accent5">
    <w:name w:val="Lined - Accent 5"/>
    <w:basedOn w:val="TableauNormal"/>
    <w:uiPriority w:val="99"/>
    <w:rsid w:val="00B30EE6"/>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7CCA62" w:themeFill="accent5"/>
      </w:tcPr>
    </w:tblStylePr>
    <w:tblStylePr w:type="lastRow">
      <w:rPr>
        <w:rFonts w:ascii="Arial" w:hAnsi="Arial"/>
        <w:color w:val="F2F2F2"/>
        <w:sz w:val="22"/>
      </w:rPr>
      <w:tblPr/>
      <w:tcPr>
        <w:shd w:val="clear" w:color="auto" w:fill="7CCA62" w:themeFill="accent5"/>
      </w:tcPr>
    </w:tblStylePr>
    <w:tblStylePr w:type="firstCol">
      <w:rPr>
        <w:rFonts w:ascii="Arial" w:hAnsi="Arial"/>
        <w:color w:val="F2F2F2"/>
        <w:sz w:val="22"/>
      </w:rPr>
      <w:tblPr/>
      <w:tcPr>
        <w:shd w:val="clear" w:color="auto" w:fill="7CCA62" w:themeFill="accent5"/>
      </w:tcPr>
    </w:tblStylePr>
    <w:tblStylePr w:type="lastCol">
      <w:rPr>
        <w:rFonts w:ascii="Arial" w:hAnsi="Arial"/>
        <w:color w:val="F2F2F2"/>
        <w:sz w:val="22"/>
      </w:rPr>
      <w:tblPr/>
      <w:tcPr>
        <w:shd w:val="clear" w:color="auto" w:fill="7CCA6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E4F4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4F4DE" w:themeFill="accent5" w:themeFillTint="34"/>
      </w:tcPr>
    </w:tblStylePr>
  </w:style>
  <w:style w:type="table" w:customStyle="1" w:styleId="Lined-Accent6">
    <w:name w:val="Lined - Accent 6"/>
    <w:basedOn w:val="TableauNormal"/>
    <w:uiPriority w:val="99"/>
    <w:rsid w:val="00B30EE6"/>
    <w:pPr>
      <w:spacing w:after="0" w:line="240" w:lineRule="auto"/>
    </w:pPr>
    <w:rPr>
      <w:color w:val="404040"/>
      <w:sz w:val="20"/>
      <w:szCs w:val="20"/>
    </w:rPr>
    <w:tblPr>
      <w:tblStyleRowBandSize w:val="1"/>
      <w:tblStyleColBandSize w:val="1"/>
    </w:tblPr>
    <w:tblStylePr w:type="firstRow">
      <w:rPr>
        <w:rFonts w:ascii="Arial" w:hAnsi="Arial"/>
        <w:color w:val="F2F2F2"/>
        <w:sz w:val="22"/>
      </w:rPr>
      <w:tblPr/>
      <w:tcPr>
        <w:shd w:val="clear" w:color="auto" w:fill="A5C249" w:themeFill="accent6"/>
      </w:tcPr>
    </w:tblStylePr>
    <w:tblStylePr w:type="lastRow">
      <w:rPr>
        <w:rFonts w:ascii="Arial" w:hAnsi="Arial"/>
        <w:color w:val="F2F2F2"/>
        <w:sz w:val="22"/>
      </w:rPr>
      <w:tblPr/>
      <w:tcPr>
        <w:shd w:val="clear" w:color="auto" w:fill="A5C249" w:themeFill="accent6"/>
      </w:tcPr>
    </w:tblStylePr>
    <w:tblStylePr w:type="firstCol">
      <w:rPr>
        <w:rFonts w:ascii="Arial" w:hAnsi="Arial"/>
        <w:color w:val="F2F2F2"/>
        <w:sz w:val="22"/>
      </w:rPr>
      <w:tblPr/>
      <w:tcPr>
        <w:shd w:val="clear" w:color="auto" w:fill="A5C249" w:themeFill="accent6"/>
      </w:tcPr>
    </w:tblStylePr>
    <w:tblStylePr w:type="lastCol">
      <w:rPr>
        <w:rFonts w:ascii="Arial" w:hAnsi="Arial"/>
        <w:color w:val="F2F2F2"/>
        <w:sz w:val="22"/>
      </w:rPr>
      <w:tblPr/>
      <w:tcPr>
        <w:shd w:val="clear" w:color="auto" w:fill="A5C2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CF2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F2D9" w:themeFill="accent6" w:themeFillTint="34"/>
      </w:tcPr>
    </w:tblStylePr>
  </w:style>
  <w:style w:type="table" w:customStyle="1" w:styleId="BorderedLined-Accent">
    <w:name w:val="Bordered &amp; Lined - Accent"/>
    <w:basedOn w:val="TableauNormal"/>
    <w:uiPriority w:val="99"/>
    <w:rsid w:val="00B30EE6"/>
    <w:pPr>
      <w:spacing w:after="0" w:line="240" w:lineRule="auto"/>
    </w:pPr>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auNormal"/>
    <w:uiPriority w:val="99"/>
    <w:rsid w:val="00B30EE6"/>
    <w:pPr>
      <w:spacing w:after="0" w:line="240" w:lineRule="auto"/>
    </w:pPr>
    <w:rPr>
      <w:color w:val="404040"/>
      <w:sz w:val="20"/>
      <w:szCs w:val="20"/>
    </w:rPr>
    <w:tblPr>
      <w:tblStyleRowBandSize w:val="1"/>
      <w:tblStyleColBandSize w:val="1"/>
      <w:tblBorders>
        <w:top w:val="single" w:sz="4" w:space="0" w:color="084073" w:themeColor="accent1" w:themeShade="95"/>
        <w:left w:val="single" w:sz="4" w:space="0" w:color="084073" w:themeColor="accent1" w:themeShade="95"/>
        <w:bottom w:val="single" w:sz="4" w:space="0" w:color="084073" w:themeColor="accent1" w:themeShade="95"/>
        <w:right w:val="single" w:sz="4" w:space="0" w:color="084073" w:themeColor="accent1" w:themeShade="95"/>
        <w:insideH w:val="single" w:sz="4" w:space="0" w:color="084073" w:themeColor="accent1" w:themeShade="95"/>
        <w:insideV w:val="single" w:sz="4" w:space="0" w:color="084073" w:themeColor="accent1" w:themeShade="95"/>
      </w:tblBorders>
    </w:tblPr>
    <w:tblStylePr w:type="firstRow">
      <w:rPr>
        <w:rFonts w:ascii="Arial" w:hAnsi="Arial"/>
        <w:color w:val="F2F2F2"/>
        <w:sz w:val="22"/>
      </w:rPr>
      <w:tblPr/>
      <w:tcPr>
        <w:shd w:val="clear" w:color="auto" w:fill="107BDC" w:themeFill="accent1" w:themeFillTint="EA"/>
      </w:tcPr>
    </w:tblStylePr>
    <w:tblStylePr w:type="lastRow">
      <w:rPr>
        <w:rFonts w:ascii="Arial" w:hAnsi="Arial"/>
        <w:color w:val="F2F2F2"/>
        <w:sz w:val="22"/>
      </w:rPr>
      <w:tblPr/>
      <w:tcPr>
        <w:shd w:val="clear" w:color="auto" w:fill="107BDC" w:themeFill="accent1" w:themeFillTint="EA"/>
      </w:tcPr>
    </w:tblStylePr>
    <w:tblStylePr w:type="firstCol">
      <w:rPr>
        <w:rFonts w:ascii="Arial" w:hAnsi="Arial"/>
        <w:color w:val="F2F2F2"/>
        <w:sz w:val="22"/>
      </w:rPr>
      <w:tblPr/>
      <w:tcPr>
        <w:shd w:val="clear" w:color="auto" w:fill="107BDC" w:themeFill="accent1" w:themeFillTint="EA"/>
      </w:tcPr>
    </w:tblStylePr>
    <w:tblStylePr w:type="lastCol">
      <w:rPr>
        <w:rFonts w:ascii="Arial" w:hAnsi="Arial"/>
        <w:color w:val="F2F2F2"/>
        <w:sz w:val="22"/>
      </w:rPr>
      <w:tblPr/>
      <w:tcPr>
        <w:shd w:val="clear" w:color="auto" w:fill="107BDC"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A8D2F8"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A8D2F8" w:themeFill="accent1" w:themeFillTint="50"/>
      </w:tcPr>
    </w:tblStylePr>
  </w:style>
  <w:style w:type="table" w:customStyle="1" w:styleId="BorderedLined-Accent2">
    <w:name w:val="Bordered &amp; Lined - Accent 2"/>
    <w:basedOn w:val="TableauNormal"/>
    <w:uiPriority w:val="99"/>
    <w:rsid w:val="00B30EE6"/>
    <w:pPr>
      <w:spacing w:after="0" w:line="240" w:lineRule="auto"/>
    </w:pPr>
    <w:rPr>
      <w:color w:val="404040"/>
      <w:sz w:val="20"/>
      <w:szCs w:val="20"/>
    </w:rPr>
    <w:tblPr>
      <w:tblStyleRowBandSize w:val="1"/>
      <w:tblStyleColBandSize w:val="1"/>
      <w:tblBorders>
        <w:top w:val="single" w:sz="4" w:space="0" w:color="005B7E" w:themeColor="accent2" w:themeShade="95"/>
        <w:left w:val="single" w:sz="4" w:space="0" w:color="005B7E" w:themeColor="accent2" w:themeShade="95"/>
        <w:bottom w:val="single" w:sz="4" w:space="0" w:color="005B7E" w:themeColor="accent2" w:themeShade="95"/>
        <w:right w:val="single" w:sz="4" w:space="0" w:color="005B7E" w:themeColor="accent2" w:themeShade="95"/>
        <w:insideH w:val="single" w:sz="4" w:space="0" w:color="005B7E" w:themeColor="accent2" w:themeShade="95"/>
        <w:insideV w:val="single" w:sz="4" w:space="0" w:color="005B7E" w:themeColor="accent2" w:themeShade="95"/>
      </w:tblBorders>
    </w:tblPr>
    <w:tblStylePr w:type="firstRow">
      <w:rPr>
        <w:rFonts w:ascii="Arial" w:hAnsi="Arial"/>
        <w:color w:val="F2F2F2"/>
        <w:sz w:val="22"/>
      </w:rPr>
      <w:tblPr/>
      <w:tcPr>
        <w:shd w:val="clear" w:color="auto" w:fill="51CEFF" w:themeFill="accent2" w:themeFillTint="97"/>
      </w:tcPr>
    </w:tblStylePr>
    <w:tblStylePr w:type="lastRow">
      <w:rPr>
        <w:rFonts w:ascii="Arial" w:hAnsi="Arial"/>
        <w:color w:val="F2F2F2"/>
        <w:sz w:val="22"/>
      </w:rPr>
      <w:tblPr/>
      <w:tcPr>
        <w:shd w:val="clear" w:color="auto" w:fill="51CEFF" w:themeFill="accent2" w:themeFillTint="97"/>
      </w:tcPr>
    </w:tblStylePr>
    <w:tblStylePr w:type="firstCol">
      <w:rPr>
        <w:rFonts w:ascii="Arial" w:hAnsi="Arial"/>
        <w:color w:val="F2F2F2"/>
        <w:sz w:val="22"/>
      </w:rPr>
      <w:tblPr/>
      <w:tcPr>
        <w:shd w:val="clear" w:color="auto" w:fill="51CEFF" w:themeFill="accent2" w:themeFillTint="97"/>
      </w:tcPr>
    </w:tblStylePr>
    <w:tblStylePr w:type="lastCol">
      <w:rPr>
        <w:rFonts w:ascii="Arial" w:hAnsi="Arial"/>
        <w:color w:val="F2F2F2"/>
        <w:sz w:val="22"/>
      </w:rPr>
      <w:tblPr/>
      <w:tcPr>
        <w:shd w:val="clear" w:color="auto" w:fill="51CE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C5EE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C5EEFF" w:themeFill="accent2" w:themeFillTint="32"/>
      </w:tcPr>
    </w:tblStylePr>
  </w:style>
  <w:style w:type="table" w:customStyle="1" w:styleId="BorderedLined-Accent3">
    <w:name w:val="Bordered &amp; Lined - Accent 3"/>
    <w:basedOn w:val="TableauNormal"/>
    <w:uiPriority w:val="99"/>
    <w:rsid w:val="00B30EE6"/>
    <w:pPr>
      <w:spacing w:after="0" w:line="240" w:lineRule="auto"/>
    </w:pPr>
    <w:rPr>
      <w:color w:val="404040"/>
      <w:sz w:val="20"/>
      <w:szCs w:val="20"/>
    </w:rPr>
    <w:tblPr>
      <w:tblStyleRowBandSize w:val="1"/>
      <w:tblStyleColBandSize w:val="1"/>
      <w:tblBorders>
        <w:top w:val="single" w:sz="4" w:space="0" w:color="06787E" w:themeColor="accent3" w:themeShade="95"/>
        <w:left w:val="single" w:sz="4" w:space="0" w:color="06787E" w:themeColor="accent3" w:themeShade="95"/>
        <w:bottom w:val="single" w:sz="4" w:space="0" w:color="06787E" w:themeColor="accent3" w:themeShade="95"/>
        <w:right w:val="single" w:sz="4" w:space="0" w:color="06787E" w:themeColor="accent3" w:themeShade="95"/>
        <w:insideH w:val="single" w:sz="4" w:space="0" w:color="06787E" w:themeColor="accent3" w:themeShade="95"/>
        <w:insideV w:val="single" w:sz="4" w:space="0" w:color="06787E" w:themeColor="accent3" w:themeShade="95"/>
      </w:tblBorders>
    </w:tblPr>
    <w:tblStylePr w:type="firstRow">
      <w:rPr>
        <w:rFonts w:ascii="Arial" w:hAnsi="Arial"/>
        <w:color w:val="F2F2F2"/>
        <w:sz w:val="22"/>
      </w:rPr>
      <w:tblPr/>
      <w:tcPr>
        <w:shd w:val="clear" w:color="auto" w:fill="0BD0D9" w:themeFill="accent3" w:themeFillTint="FE"/>
      </w:tcPr>
    </w:tblStylePr>
    <w:tblStylePr w:type="lastRow">
      <w:rPr>
        <w:rFonts w:ascii="Arial" w:hAnsi="Arial"/>
        <w:color w:val="F2F2F2"/>
        <w:sz w:val="22"/>
      </w:rPr>
      <w:tblPr/>
      <w:tcPr>
        <w:shd w:val="clear" w:color="auto" w:fill="0BD0D9" w:themeFill="accent3" w:themeFillTint="FE"/>
      </w:tcPr>
    </w:tblStylePr>
    <w:tblStylePr w:type="firstCol">
      <w:rPr>
        <w:rFonts w:ascii="Arial" w:hAnsi="Arial"/>
        <w:color w:val="F2F2F2"/>
        <w:sz w:val="22"/>
      </w:rPr>
      <w:tblPr/>
      <w:tcPr>
        <w:shd w:val="clear" w:color="auto" w:fill="0BD0D9" w:themeFill="accent3" w:themeFillTint="FE"/>
      </w:tcPr>
    </w:tblStylePr>
    <w:tblStylePr w:type="lastCol">
      <w:rPr>
        <w:rFonts w:ascii="Arial" w:hAnsi="Arial"/>
        <w:color w:val="F2F2F2"/>
        <w:sz w:val="22"/>
      </w:rPr>
      <w:tblPr/>
      <w:tcPr>
        <w:shd w:val="clear" w:color="auto" w:fill="0BD0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C8F9F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9FC" w:themeFill="accent3" w:themeFillTint="34"/>
      </w:tcPr>
    </w:tblStylePr>
  </w:style>
  <w:style w:type="table" w:customStyle="1" w:styleId="BorderedLined-Accent4">
    <w:name w:val="Bordered &amp; Lined - Accent 4"/>
    <w:basedOn w:val="TableauNormal"/>
    <w:uiPriority w:val="99"/>
    <w:rsid w:val="00B30EE6"/>
    <w:pPr>
      <w:spacing w:after="0" w:line="240" w:lineRule="auto"/>
    </w:pPr>
    <w:rPr>
      <w:color w:val="404040"/>
      <w:sz w:val="20"/>
      <w:szCs w:val="20"/>
    </w:rPr>
    <w:tblPr>
      <w:tblStyleRowBandSize w:val="1"/>
      <w:tblStyleColBandSize w:val="1"/>
      <w:tblBorders>
        <w:top w:val="single" w:sz="4" w:space="0" w:color="09785A" w:themeColor="accent4" w:themeShade="95"/>
        <w:left w:val="single" w:sz="4" w:space="0" w:color="09785A" w:themeColor="accent4" w:themeShade="95"/>
        <w:bottom w:val="single" w:sz="4" w:space="0" w:color="09785A" w:themeColor="accent4" w:themeShade="95"/>
        <w:right w:val="single" w:sz="4" w:space="0" w:color="09785A" w:themeColor="accent4" w:themeShade="95"/>
        <w:insideH w:val="single" w:sz="4" w:space="0" w:color="09785A" w:themeColor="accent4" w:themeShade="95"/>
        <w:insideV w:val="single" w:sz="4" w:space="0" w:color="09785A" w:themeColor="accent4" w:themeShade="95"/>
      </w:tblBorders>
    </w:tblPr>
    <w:tblStylePr w:type="firstRow">
      <w:rPr>
        <w:rFonts w:ascii="Arial" w:hAnsi="Arial"/>
        <w:color w:val="F2F2F2"/>
        <w:sz w:val="22"/>
      </w:rPr>
      <w:tblPr/>
      <w:tcPr>
        <w:shd w:val="clear" w:color="auto" w:fill="5EF2C9" w:themeFill="accent4" w:themeFillTint="9A"/>
      </w:tcPr>
    </w:tblStylePr>
    <w:tblStylePr w:type="lastRow">
      <w:rPr>
        <w:rFonts w:ascii="Arial" w:hAnsi="Arial"/>
        <w:color w:val="F2F2F2"/>
        <w:sz w:val="22"/>
      </w:rPr>
      <w:tblPr/>
      <w:tcPr>
        <w:shd w:val="clear" w:color="auto" w:fill="5EF2C9" w:themeFill="accent4" w:themeFillTint="9A"/>
      </w:tcPr>
    </w:tblStylePr>
    <w:tblStylePr w:type="firstCol">
      <w:rPr>
        <w:rFonts w:ascii="Arial" w:hAnsi="Arial"/>
        <w:color w:val="F2F2F2"/>
        <w:sz w:val="22"/>
      </w:rPr>
      <w:tblPr/>
      <w:tcPr>
        <w:shd w:val="clear" w:color="auto" w:fill="5EF2C9" w:themeFill="accent4" w:themeFillTint="9A"/>
      </w:tcPr>
    </w:tblStylePr>
    <w:tblStylePr w:type="lastCol">
      <w:rPr>
        <w:rFonts w:ascii="Arial" w:hAnsi="Arial"/>
        <w:color w:val="F2F2F2"/>
        <w:sz w:val="22"/>
      </w:rPr>
      <w:tblPr/>
      <w:tcPr>
        <w:shd w:val="clear" w:color="auto" w:fill="5EF2C9"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C8FAED"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C8FAED" w:themeFill="accent4" w:themeFillTint="34"/>
      </w:tcPr>
    </w:tblStylePr>
  </w:style>
  <w:style w:type="table" w:customStyle="1" w:styleId="BorderedLined-Accent5">
    <w:name w:val="Bordered &amp; Lined - Accent 5"/>
    <w:basedOn w:val="TableauNormal"/>
    <w:uiPriority w:val="99"/>
    <w:rsid w:val="00B30EE6"/>
    <w:pPr>
      <w:spacing w:after="0" w:line="240" w:lineRule="auto"/>
    </w:pPr>
    <w:rPr>
      <w:color w:val="404040"/>
      <w:sz w:val="20"/>
      <w:szCs w:val="20"/>
    </w:rPr>
    <w:tblPr>
      <w:tblStyleRowBandSize w:val="1"/>
      <w:tblStyleColBandSize w:val="1"/>
      <w:tblBorders>
        <w:top w:val="single" w:sz="4" w:space="0" w:color="41822C" w:themeColor="accent5" w:themeShade="95"/>
        <w:left w:val="single" w:sz="4" w:space="0" w:color="41822C" w:themeColor="accent5" w:themeShade="95"/>
        <w:bottom w:val="single" w:sz="4" w:space="0" w:color="41822C" w:themeColor="accent5" w:themeShade="95"/>
        <w:right w:val="single" w:sz="4" w:space="0" w:color="41822C" w:themeColor="accent5" w:themeShade="95"/>
        <w:insideH w:val="single" w:sz="4" w:space="0" w:color="41822C" w:themeColor="accent5" w:themeShade="95"/>
        <w:insideV w:val="single" w:sz="4" w:space="0" w:color="41822C" w:themeColor="accent5" w:themeShade="95"/>
      </w:tblBorders>
    </w:tblPr>
    <w:tblStylePr w:type="firstRow">
      <w:rPr>
        <w:rFonts w:ascii="Arial" w:hAnsi="Arial"/>
        <w:color w:val="F2F2F2"/>
        <w:sz w:val="22"/>
      </w:rPr>
      <w:tblPr/>
      <w:tcPr>
        <w:shd w:val="clear" w:color="auto" w:fill="7CCA62" w:themeFill="accent5"/>
      </w:tcPr>
    </w:tblStylePr>
    <w:tblStylePr w:type="lastRow">
      <w:rPr>
        <w:rFonts w:ascii="Arial" w:hAnsi="Arial"/>
        <w:color w:val="F2F2F2"/>
        <w:sz w:val="22"/>
      </w:rPr>
      <w:tblPr/>
      <w:tcPr>
        <w:shd w:val="clear" w:color="auto" w:fill="7CCA62" w:themeFill="accent5"/>
      </w:tcPr>
    </w:tblStylePr>
    <w:tblStylePr w:type="firstCol">
      <w:rPr>
        <w:rFonts w:ascii="Arial" w:hAnsi="Arial"/>
        <w:color w:val="F2F2F2"/>
        <w:sz w:val="22"/>
      </w:rPr>
      <w:tblPr/>
      <w:tcPr>
        <w:shd w:val="clear" w:color="auto" w:fill="7CCA62" w:themeFill="accent5"/>
      </w:tcPr>
    </w:tblStylePr>
    <w:tblStylePr w:type="lastCol">
      <w:rPr>
        <w:rFonts w:ascii="Arial" w:hAnsi="Arial"/>
        <w:color w:val="F2F2F2"/>
        <w:sz w:val="22"/>
      </w:rPr>
      <w:tblPr/>
      <w:tcPr>
        <w:shd w:val="clear" w:color="auto" w:fill="7CCA62"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E4F4DE"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4F4DE" w:themeFill="accent5" w:themeFillTint="34"/>
      </w:tcPr>
    </w:tblStylePr>
  </w:style>
  <w:style w:type="table" w:customStyle="1" w:styleId="BorderedLined-Accent6">
    <w:name w:val="Bordered &amp; Lined - Accent 6"/>
    <w:basedOn w:val="TableauNormal"/>
    <w:uiPriority w:val="99"/>
    <w:rsid w:val="00B30EE6"/>
    <w:pPr>
      <w:spacing w:after="0" w:line="240" w:lineRule="auto"/>
    </w:pPr>
    <w:rPr>
      <w:color w:val="404040"/>
      <w:sz w:val="20"/>
      <w:szCs w:val="20"/>
    </w:rPr>
    <w:tblPr>
      <w:tblStyleRowBandSize w:val="1"/>
      <w:tblStyleColBandSize w:val="1"/>
      <w:tblBorders>
        <w:top w:val="single" w:sz="4" w:space="0" w:color="617427" w:themeColor="accent6" w:themeShade="95"/>
        <w:left w:val="single" w:sz="4" w:space="0" w:color="617427" w:themeColor="accent6" w:themeShade="95"/>
        <w:bottom w:val="single" w:sz="4" w:space="0" w:color="617427" w:themeColor="accent6" w:themeShade="95"/>
        <w:right w:val="single" w:sz="4" w:space="0" w:color="617427" w:themeColor="accent6" w:themeShade="95"/>
        <w:insideH w:val="single" w:sz="4" w:space="0" w:color="617427" w:themeColor="accent6" w:themeShade="95"/>
        <w:insideV w:val="single" w:sz="4" w:space="0" w:color="617427" w:themeColor="accent6" w:themeShade="95"/>
      </w:tblBorders>
    </w:tblPr>
    <w:tblStylePr w:type="firstRow">
      <w:rPr>
        <w:rFonts w:ascii="Arial" w:hAnsi="Arial"/>
        <w:color w:val="F2F2F2"/>
        <w:sz w:val="22"/>
      </w:rPr>
      <w:tblPr/>
      <w:tcPr>
        <w:shd w:val="clear" w:color="auto" w:fill="A5C249" w:themeFill="accent6"/>
      </w:tcPr>
    </w:tblStylePr>
    <w:tblStylePr w:type="lastRow">
      <w:rPr>
        <w:rFonts w:ascii="Arial" w:hAnsi="Arial"/>
        <w:color w:val="F2F2F2"/>
        <w:sz w:val="22"/>
      </w:rPr>
      <w:tblPr/>
      <w:tcPr>
        <w:shd w:val="clear" w:color="auto" w:fill="A5C249" w:themeFill="accent6"/>
      </w:tcPr>
    </w:tblStylePr>
    <w:tblStylePr w:type="firstCol">
      <w:rPr>
        <w:rFonts w:ascii="Arial" w:hAnsi="Arial"/>
        <w:color w:val="F2F2F2"/>
        <w:sz w:val="22"/>
      </w:rPr>
      <w:tblPr/>
      <w:tcPr>
        <w:shd w:val="clear" w:color="auto" w:fill="A5C249" w:themeFill="accent6"/>
      </w:tcPr>
    </w:tblStylePr>
    <w:tblStylePr w:type="lastCol">
      <w:rPr>
        <w:rFonts w:ascii="Arial" w:hAnsi="Arial"/>
        <w:color w:val="F2F2F2"/>
        <w:sz w:val="22"/>
      </w:rPr>
      <w:tblPr/>
      <w:tcPr>
        <w:shd w:val="clear" w:color="auto" w:fill="A5C249"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CF2D9"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F2D9" w:themeFill="accent6" w:themeFillTint="34"/>
      </w:tcPr>
    </w:tblStylePr>
  </w:style>
  <w:style w:type="table" w:customStyle="1" w:styleId="Bordered">
    <w:name w:val="Bordered"/>
    <w:basedOn w:val="TableauNormal"/>
    <w:uiPriority w:val="99"/>
    <w:rsid w:val="00B30EE6"/>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rsid w:val="00B30EE6"/>
    <w:pPr>
      <w:spacing w:after="0" w:line="240" w:lineRule="auto"/>
    </w:pPr>
    <w:tblPr>
      <w:tblStyleRowBandSize w:val="1"/>
      <w:tblStyleColBandSize w:val="1"/>
      <w:tbl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insideH w:val="single" w:sz="4" w:space="0" w:color="8FC5F6" w:themeColor="accent1" w:themeTint="67"/>
        <w:insideV w:val="single" w:sz="4" w:space="0" w:color="8FC5F6" w:themeColor="accent1" w:themeTint="67"/>
      </w:tblBorders>
    </w:tblPr>
    <w:tblStylePr w:type="firstRow">
      <w:rPr>
        <w:rFonts w:ascii="Arial" w:hAnsi="Arial"/>
        <w:color w:val="404040"/>
        <w:sz w:val="22"/>
      </w:rPr>
      <w:tblPr/>
      <w:tcPr>
        <w:tcBorders>
          <w:bottom w:val="single" w:sz="12" w:space="0" w:color="0F6FC6" w:themeColor="accent1"/>
        </w:tcBorders>
      </w:tcPr>
    </w:tblStylePr>
    <w:tblStylePr w:type="lastRow">
      <w:rPr>
        <w:rFonts w:ascii="Arial" w:hAnsi="Arial"/>
        <w:color w:val="404040"/>
        <w:sz w:val="22"/>
      </w:rPr>
      <w:tblPr/>
      <w:tcPr>
        <w:tcBorders>
          <w:top w:val="single" w:sz="12" w:space="0" w:color="0F6FC6"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F6FC6" w:themeColor="accent1"/>
        </w:tcBorders>
      </w:tcPr>
    </w:tblStylePr>
    <w:tblStylePr w:type="band1Horz">
      <w:rPr>
        <w:rFonts w:ascii="Arial" w:hAnsi="Arial"/>
        <w:color w:val="404040"/>
        <w:sz w:val="22"/>
      </w:rPr>
      <w:tblPr/>
      <w:tcPr>
        <w:tcBorders>
          <w:top w:val="single" w:sz="4" w:space="0" w:color="8FC5F6" w:themeColor="accent1" w:themeTint="67"/>
          <w:left w:val="single" w:sz="4" w:space="0" w:color="8FC5F6" w:themeColor="accent1" w:themeTint="67"/>
          <w:bottom w:val="single" w:sz="4" w:space="0" w:color="8FC5F6" w:themeColor="accent1" w:themeTint="67"/>
          <w:right w:val="single" w:sz="4" w:space="0" w:color="8FC5F6" w:themeColor="accent1" w:themeTint="67"/>
        </w:tcBorders>
      </w:tcPr>
    </w:tblStylePr>
  </w:style>
  <w:style w:type="table" w:customStyle="1" w:styleId="Bordered-Accent2">
    <w:name w:val="Bordered - Accent 2"/>
    <w:basedOn w:val="TableauNormal"/>
    <w:uiPriority w:val="99"/>
    <w:rsid w:val="00B30EE6"/>
    <w:pPr>
      <w:spacing w:after="0" w:line="240" w:lineRule="auto"/>
    </w:pPr>
    <w:tblPr>
      <w:tblStyleRowBandSize w:val="1"/>
      <w:tblStyleColBandSize w:val="1"/>
      <w:tbl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insideH w:val="single" w:sz="4" w:space="0" w:color="88DDFF" w:themeColor="accent2" w:themeTint="67"/>
        <w:insideV w:val="single" w:sz="4" w:space="0" w:color="88DDFF" w:themeColor="accent2" w:themeTint="67"/>
      </w:tblBorders>
    </w:tblPr>
    <w:tblStylePr w:type="firstRow">
      <w:rPr>
        <w:rFonts w:ascii="Arial" w:hAnsi="Arial"/>
        <w:color w:val="404040"/>
        <w:sz w:val="22"/>
      </w:rPr>
      <w:tblPr/>
      <w:tcPr>
        <w:tcBorders>
          <w:bottom w:val="single" w:sz="12" w:space="0" w:color="51CEFF" w:themeColor="accent2" w:themeTint="97"/>
        </w:tcBorders>
      </w:tcPr>
    </w:tblStylePr>
    <w:tblStylePr w:type="lastRow">
      <w:rPr>
        <w:rFonts w:ascii="Arial" w:hAnsi="Arial"/>
        <w:color w:val="404040"/>
        <w:sz w:val="22"/>
      </w:rPr>
      <w:tblPr/>
      <w:tcPr>
        <w:tcBorders>
          <w:top w:val="single" w:sz="12" w:space="0" w:color="51CE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1CEFF" w:themeColor="accent2" w:themeTint="97"/>
        </w:tcBorders>
      </w:tcPr>
    </w:tblStylePr>
    <w:tblStylePr w:type="band1Horz">
      <w:rPr>
        <w:rFonts w:ascii="Arial" w:hAnsi="Arial"/>
        <w:color w:val="404040"/>
        <w:sz w:val="22"/>
      </w:rPr>
      <w:tblPr/>
      <w:tcPr>
        <w:tcBorders>
          <w:top w:val="single" w:sz="4" w:space="0" w:color="88DDFF" w:themeColor="accent2" w:themeTint="67"/>
          <w:left w:val="single" w:sz="4" w:space="0" w:color="88DDFF" w:themeColor="accent2" w:themeTint="67"/>
          <w:bottom w:val="single" w:sz="4" w:space="0" w:color="88DDFF" w:themeColor="accent2" w:themeTint="67"/>
          <w:right w:val="single" w:sz="4" w:space="0" w:color="88DDFF" w:themeColor="accent2" w:themeTint="67"/>
        </w:tcBorders>
      </w:tcPr>
    </w:tblStylePr>
  </w:style>
  <w:style w:type="table" w:customStyle="1" w:styleId="Bordered-Accent3">
    <w:name w:val="Bordered - Accent 3"/>
    <w:basedOn w:val="TableauNormal"/>
    <w:uiPriority w:val="99"/>
    <w:rsid w:val="00B30EE6"/>
    <w:pPr>
      <w:spacing w:after="0" w:line="240" w:lineRule="auto"/>
    </w:pPr>
    <w:tblPr>
      <w:tblStyleRowBandSize w:val="1"/>
      <w:tblStyleColBandSize w:val="1"/>
      <w:tbl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insideH w:val="single" w:sz="4" w:space="0" w:color="92F4F9" w:themeColor="accent3" w:themeTint="67"/>
        <w:insideV w:val="single" w:sz="4" w:space="0" w:color="92F4F9" w:themeColor="accent3" w:themeTint="67"/>
      </w:tblBorders>
    </w:tblPr>
    <w:tblStylePr w:type="firstRow">
      <w:rPr>
        <w:rFonts w:ascii="Arial" w:hAnsi="Arial"/>
        <w:color w:val="404040"/>
        <w:sz w:val="22"/>
      </w:rPr>
      <w:tblPr/>
      <w:tcPr>
        <w:tcBorders>
          <w:bottom w:val="single" w:sz="12" w:space="0" w:color="5EEFF7" w:themeColor="accent3" w:themeTint="98"/>
        </w:tcBorders>
      </w:tcPr>
    </w:tblStylePr>
    <w:tblStylePr w:type="lastRow">
      <w:rPr>
        <w:rFonts w:ascii="Arial" w:hAnsi="Arial"/>
        <w:color w:val="404040"/>
        <w:sz w:val="22"/>
      </w:rPr>
      <w:tblPr/>
      <w:tcPr>
        <w:tcBorders>
          <w:top w:val="single" w:sz="12" w:space="0" w:color="5EEFF7"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EEFF7" w:themeColor="accent3" w:themeTint="98"/>
        </w:tcBorders>
      </w:tcPr>
    </w:tblStylePr>
    <w:tblStylePr w:type="band1Horz">
      <w:rPr>
        <w:rFonts w:ascii="Arial" w:hAnsi="Arial"/>
        <w:color w:val="404040"/>
        <w:sz w:val="22"/>
      </w:rPr>
      <w:tblPr/>
      <w:tcPr>
        <w:tcBorders>
          <w:top w:val="single" w:sz="4" w:space="0" w:color="92F4F9" w:themeColor="accent3" w:themeTint="67"/>
          <w:left w:val="single" w:sz="4" w:space="0" w:color="92F4F9" w:themeColor="accent3" w:themeTint="67"/>
          <w:bottom w:val="single" w:sz="4" w:space="0" w:color="92F4F9" w:themeColor="accent3" w:themeTint="67"/>
          <w:right w:val="single" w:sz="4" w:space="0" w:color="92F4F9" w:themeColor="accent3" w:themeTint="67"/>
        </w:tcBorders>
      </w:tcPr>
    </w:tblStylePr>
  </w:style>
  <w:style w:type="table" w:customStyle="1" w:styleId="Bordered-Accent4">
    <w:name w:val="Bordered - Accent 4"/>
    <w:basedOn w:val="TableauNormal"/>
    <w:uiPriority w:val="99"/>
    <w:rsid w:val="00B30EE6"/>
    <w:pPr>
      <w:spacing w:after="0" w:line="240" w:lineRule="auto"/>
    </w:pPr>
    <w:tblPr>
      <w:tblStyleRowBandSize w:val="1"/>
      <w:tblStyleColBandSize w:val="1"/>
      <w:tbl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insideH w:val="single" w:sz="4" w:space="0" w:color="93F6DB" w:themeColor="accent4" w:themeTint="67"/>
        <w:insideV w:val="single" w:sz="4" w:space="0" w:color="93F6DB" w:themeColor="accent4" w:themeTint="67"/>
      </w:tblBorders>
    </w:tblPr>
    <w:tblStylePr w:type="firstRow">
      <w:rPr>
        <w:rFonts w:ascii="Arial" w:hAnsi="Arial"/>
        <w:color w:val="404040"/>
        <w:sz w:val="22"/>
      </w:rPr>
      <w:tblPr/>
      <w:tcPr>
        <w:tcBorders>
          <w:bottom w:val="single" w:sz="12" w:space="0" w:color="5EF2C9" w:themeColor="accent4" w:themeTint="9A"/>
        </w:tcBorders>
      </w:tcPr>
    </w:tblStylePr>
    <w:tblStylePr w:type="lastRow">
      <w:rPr>
        <w:rFonts w:ascii="Arial" w:hAnsi="Arial"/>
        <w:color w:val="404040"/>
        <w:sz w:val="22"/>
      </w:rPr>
      <w:tblPr/>
      <w:tcPr>
        <w:tcBorders>
          <w:top w:val="single" w:sz="12" w:space="0" w:color="5EF2C9"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EF2C9" w:themeColor="accent4" w:themeTint="9A"/>
        </w:tcBorders>
      </w:tcPr>
    </w:tblStylePr>
    <w:tblStylePr w:type="band1Horz">
      <w:rPr>
        <w:rFonts w:ascii="Arial" w:hAnsi="Arial"/>
        <w:color w:val="404040"/>
        <w:sz w:val="22"/>
      </w:rPr>
      <w:tblPr/>
      <w:tcPr>
        <w:tcBorders>
          <w:top w:val="single" w:sz="4" w:space="0" w:color="93F6DB" w:themeColor="accent4" w:themeTint="67"/>
          <w:left w:val="single" w:sz="4" w:space="0" w:color="93F6DB" w:themeColor="accent4" w:themeTint="67"/>
          <w:bottom w:val="single" w:sz="4" w:space="0" w:color="93F6DB" w:themeColor="accent4" w:themeTint="67"/>
          <w:right w:val="single" w:sz="4" w:space="0" w:color="93F6DB" w:themeColor="accent4" w:themeTint="67"/>
        </w:tcBorders>
      </w:tcPr>
    </w:tblStylePr>
  </w:style>
  <w:style w:type="table" w:customStyle="1" w:styleId="Bordered-Accent5">
    <w:name w:val="Bordered - Accent 5"/>
    <w:basedOn w:val="TableauNormal"/>
    <w:uiPriority w:val="99"/>
    <w:rsid w:val="00B30EE6"/>
    <w:pPr>
      <w:spacing w:after="0" w:line="240" w:lineRule="auto"/>
    </w:pPr>
    <w:tblPr>
      <w:tblStyleRowBandSize w:val="1"/>
      <w:tblStyleColBandSize w:val="1"/>
      <w:tbl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insideH w:val="single" w:sz="4" w:space="0" w:color="C9E9BF" w:themeColor="accent5" w:themeTint="67"/>
        <w:insideV w:val="single" w:sz="4" w:space="0" w:color="C9E9BF" w:themeColor="accent5" w:themeTint="67"/>
      </w:tblBorders>
    </w:tblPr>
    <w:tblStylePr w:type="firstRow">
      <w:rPr>
        <w:rFonts w:ascii="Arial" w:hAnsi="Arial"/>
        <w:color w:val="404040"/>
        <w:sz w:val="22"/>
      </w:rPr>
      <w:tblPr/>
      <w:tcPr>
        <w:tcBorders>
          <w:bottom w:val="single" w:sz="12" w:space="0" w:color="AFDFA0" w:themeColor="accent5" w:themeTint="9A"/>
        </w:tcBorders>
      </w:tcPr>
    </w:tblStylePr>
    <w:tblStylePr w:type="lastRow">
      <w:rPr>
        <w:rFonts w:ascii="Arial" w:hAnsi="Arial"/>
        <w:color w:val="404040"/>
        <w:sz w:val="22"/>
      </w:rPr>
      <w:tblPr/>
      <w:tcPr>
        <w:tcBorders>
          <w:top w:val="single" w:sz="12" w:space="0" w:color="AFDFA0"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FDFA0" w:themeColor="accent5" w:themeTint="9A"/>
        </w:tcBorders>
      </w:tcPr>
    </w:tblStylePr>
    <w:tblStylePr w:type="band1Horz">
      <w:rPr>
        <w:rFonts w:ascii="Arial" w:hAnsi="Arial"/>
        <w:color w:val="404040"/>
        <w:sz w:val="22"/>
      </w:rPr>
      <w:tblPr/>
      <w:tcPr>
        <w:tcBorders>
          <w:top w:val="single" w:sz="4" w:space="0" w:color="C9E9BF" w:themeColor="accent5" w:themeTint="67"/>
          <w:left w:val="single" w:sz="4" w:space="0" w:color="C9E9BF" w:themeColor="accent5" w:themeTint="67"/>
          <w:bottom w:val="single" w:sz="4" w:space="0" w:color="C9E9BF" w:themeColor="accent5" w:themeTint="67"/>
          <w:right w:val="single" w:sz="4" w:space="0" w:color="C9E9BF" w:themeColor="accent5" w:themeTint="67"/>
        </w:tcBorders>
      </w:tcPr>
    </w:tblStylePr>
  </w:style>
  <w:style w:type="table" w:customStyle="1" w:styleId="Bordered-Accent6">
    <w:name w:val="Bordered - Accent 6"/>
    <w:basedOn w:val="TableauNormal"/>
    <w:uiPriority w:val="99"/>
    <w:rsid w:val="00B30EE6"/>
    <w:pPr>
      <w:spacing w:after="0" w:line="240" w:lineRule="auto"/>
    </w:pPr>
    <w:tblPr>
      <w:tblStyleRowBandSize w:val="1"/>
      <w:tblStyleColBandSize w:val="1"/>
      <w:tbl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insideH w:val="single" w:sz="4" w:space="0" w:color="DAE6B5" w:themeColor="accent6" w:themeTint="67"/>
        <w:insideV w:val="single" w:sz="4" w:space="0" w:color="DAE6B5" w:themeColor="accent6" w:themeTint="67"/>
      </w:tblBorders>
    </w:tblPr>
    <w:tblStylePr w:type="firstRow">
      <w:rPr>
        <w:rFonts w:ascii="Arial" w:hAnsi="Arial"/>
        <w:color w:val="404040"/>
        <w:sz w:val="22"/>
      </w:rPr>
      <w:tblPr/>
      <w:tcPr>
        <w:tcBorders>
          <w:bottom w:val="single" w:sz="12" w:space="0" w:color="C9DA92" w:themeColor="accent6" w:themeTint="98"/>
        </w:tcBorders>
      </w:tcPr>
    </w:tblStylePr>
    <w:tblStylePr w:type="lastRow">
      <w:rPr>
        <w:rFonts w:ascii="Arial" w:hAnsi="Arial"/>
        <w:color w:val="404040"/>
        <w:sz w:val="22"/>
      </w:rPr>
      <w:tblPr/>
      <w:tcPr>
        <w:tcBorders>
          <w:top w:val="single" w:sz="12" w:space="0" w:color="C9DA9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DA92" w:themeColor="accent6" w:themeTint="98"/>
        </w:tcBorders>
      </w:tcPr>
    </w:tblStylePr>
    <w:tblStylePr w:type="band1Horz">
      <w:rPr>
        <w:rFonts w:ascii="Arial" w:hAnsi="Arial"/>
        <w:color w:val="404040"/>
        <w:sz w:val="22"/>
      </w:rPr>
      <w:tblPr/>
      <w:tcPr>
        <w:tcBorders>
          <w:top w:val="single" w:sz="4" w:space="0" w:color="DAE6B5" w:themeColor="accent6" w:themeTint="67"/>
          <w:left w:val="single" w:sz="4" w:space="0" w:color="DAE6B5" w:themeColor="accent6" w:themeTint="67"/>
          <w:bottom w:val="single" w:sz="4" w:space="0" w:color="DAE6B5" w:themeColor="accent6" w:themeTint="67"/>
          <w:right w:val="single" w:sz="4" w:space="0" w:color="DAE6B5" w:themeColor="accent6" w:themeTint="67"/>
        </w:tcBorders>
      </w:tcPr>
    </w:tblStylePr>
  </w:style>
  <w:style w:type="paragraph" w:styleId="Notedebasdepage">
    <w:name w:val="footnote text"/>
    <w:basedOn w:val="Normal"/>
    <w:link w:val="NotedebasdepageCar"/>
    <w:uiPriority w:val="99"/>
    <w:unhideWhenUsed/>
    <w:rsid w:val="00B30EE6"/>
    <w:pPr>
      <w:spacing w:after="40" w:line="240" w:lineRule="auto"/>
    </w:pPr>
    <w:rPr>
      <w:sz w:val="18"/>
    </w:rPr>
  </w:style>
  <w:style w:type="character" w:customStyle="1" w:styleId="NotedebasdepageCar">
    <w:name w:val="Note de bas de page Car"/>
    <w:link w:val="Notedebasdepage"/>
    <w:uiPriority w:val="99"/>
    <w:rsid w:val="00B30EE6"/>
    <w:rPr>
      <w:sz w:val="18"/>
    </w:rPr>
  </w:style>
  <w:style w:type="character" w:styleId="Appelnotedebasdep">
    <w:name w:val="footnote reference"/>
    <w:basedOn w:val="Policepardfaut"/>
    <w:uiPriority w:val="99"/>
    <w:unhideWhenUsed/>
    <w:rsid w:val="00B30EE6"/>
    <w:rPr>
      <w:vertAlign w:val="superscript"/>
    </w:rPr>
  </w:style>
  <w:style w:type="paragraph" w:styleId="TM1">
    <w:name w:val="toc 1"/>
    <w:basedOn w:val="Normal"/>
    <w:next w:val="Normal"/>
    <w:uiPriority w:val="39"/>
    <w:unhideWhenUsed/>
    <w:rsid w:val="00B30EE6"/>
    <w:pPr>
      <w:spacing w:after="57"/>
    </w:pPr>
  </w:style>
  <w:style w:type="paragraph" w:styleId="TM2">
    <w:name w:val="toc 2"/>
    <w:basedOn w:val="Normal"/>
    <w:next w:val="Normal"/>
    <w:uiPriority w:val="39"/>
    <w:unhideWhenUsed/>
    <w:rsid w:val="00B30EE6"/>
    <w:pPr>
      <w:spacing w:after="57"/>
      <w:ind w:left="283"/>
    </w:pPr>
  </w:style>
  <w:style w:type="paragraph" w:styleId="TM3">
    <w:name w:val="toc 3"/>
    <w:basedOn w:val="Normal"/>
    <w:next w:val="Normal"/>
    <w:uiPriority w:val="39"/>
    <w:unhideWhenUsed/>
    <w:rsid w:val="00B30EE6"/>
    <w:pPr>
      <w:spacing w:after="57"/>
      <w:ind w:left="567"/>
    </w:pPr>
  </w:style>
  <w:style w:type="paragraph" w:styleId="TM4">
    <w:name w:val="toc 4"/>
    <w:basedOn w:val="Normal"/>
    <w:next w:val="Normal"/>
    <w:uiPriority w:val="39"/>
    <w:unhideWhenUsed/>
    <w:rsid w:val="00B30EE6"/>
    <w:pPr>
      <w:spacing w:after="57"/>
      <w:ind w:left="850"/>
    </w:pPr>
  </w:style>
  <w:style w:type="paragraph" w:styleId="TM5">
    <w:name w:val="toc 5"/>
    <w:basedOn w:val="Normal"/>
    <w:next w:val="Normal"/>
    <w:uiPriority w:val="39"/>
    <w:unhideWhenUsed/>
    <w:rsid w:val="00B30EE6"/>
    <w:pPr>
      <w:spacing w:after="57"/>
      <w:ind w:left="1134"/>
    </w:pPr>
  </w:style>
  <w:style w:type="paragraph" w:styleId="TM6">
    <w:name w:val="toc 6"/>
    <w:basedOn w:val="Normal"/>
    <w:next w:val="Normal"/>
    <w:uiPriority w:val="39"/>
    <w:unhideWhenUsed/>
    <w:rsid w:val="00B30EE6"/>
    <w:pPr>
      <w:spacing w:after="57"/>
      <w:ind w:left="1417"/>
    </w:pPr>
  </w:style>
  <w:style w:type="paragraph" w:styleId="TM7">
    <w:name w:val="toc 7"/>
    <w:basedOn w:val="Normal"/>
    <w:next w:val="Normal"/>
    <w:uiPriority w:val="39"/>
    <w:unhideWhenUsed/>
    <w:rsid w:val="00B30EE6"/>
    <w:pPr>
      <w:spacing w:after="57"/>
      <w:ind w:left="1701"/>
    </w:pPr>
  </w:style>
  <w:style w:type="paragraph" w:styleId="TM8">
    <w:name w:val="toc 8"/>
    <w:basedOn w:val="Normal"/>
    <w:next w:val="Normal"/>
    <w:uiPriority w:val="39"/>
    <w:unhideWhenUsed/>
    <w:rsid w:val="00B30EE6"/>
    <w:pPr>
      <w:spacing w:after="57"/>
      <w:ind w:left="1984"/>
    </w:pPr>
  </w:style>
  <w:style w:type="paragraph" w:styleId="TM9">
    <w:name w:val="toc 9"/>
    <w:basedOn w:val="Normal"/>
    <w:next w:val="Normal"/>
    <w:uiPriority w:val="39"/>
    <w:unhideWhenUsed/>
    <w:rsid w:val="00B30EE6"/>
    <w:pPr>
      <w:spacing w:after="57"/>
      <w:ind w:left="2268"/>
    </w:pPr>
  </w:style>
  <w:style w:type="paragraph" w:styleId="En-ttedetabledesmatires">
    <w:name w:val="TOC Heading"/>
    <w:uiPriority w:val="39"/>
    <w:unhideWhenUsed/>
    <w:rsid w:val="00B30EE6"/>
  </w:style>
  <w:style w:type="paragraph" w:customStyle="1" w:styleId="Titre11">
    <w:name w:val="Titre 11"/>
    <w:basedOn w:val="Normal"/>
    <w:next w:val="Normal"/>
    <w:link w:val="Titre1Car"/>
    <w:uiPriority w:val="9"/>
    <w:unhideWhenUsed/>
    <w:qFormat/>
    <w:rsid w:val="00B30EE6"/>
    <w:pPr>
      <w:spacing w:before="360" w:after="40"/>
      <w:outlineLvl w:val="0"/>
    </w:pPr>
    <w:rPr>
      <w:smallCaps/>
      <w:spacing w:val="5"/>
      <w:sz w:val="32"/>
      <w:szCs w:val="32"/>
    </w:rPr>
  </w:style>
  <w:style w:type="paragraph" w:customStyle="1" w:styleId="Titre21">
    <w:name w:val="Titre 21"/>
    <w:basedOn w:val="Normal"/>
    <w:next w:val="Normal"/>
    <w:link w:val="Titre2Car"/>
    <w:uiPriority w:val="9"/>
    <w:unhideWhenUsed/>
    <w:qFormat/>
    <w:rsid w:val="00B30EE6"/>
    <w:pPr>
      <w:spacing w:after="0"/>
      <w:outlineLvl w:val="1"/>
    </w:pPr>
    <w:rPr>
      <w:sz w:val="28"/>
      <w:szCs w:val="28"/>
    </w:rPr>
  </w:style>
  <w:style w:type="paragraph" w:customStyle="1" w:styleId="Titre31">
    <w:name w:val="Titre 31"/>
    <w:basedOn w:val="Normal"/>
    <w:next w:val="Normal"/>
    <w:link w:val="Titre3Car"/>
    <w:uiPriority w:val="9"/>
    <w:semiHidden/>
    <w:unhideWhenUsed/>
    <w:qFormat/>
    <w:rsid w:val="00B30EE6"/>
    <w:pPr>
      <w:spacing w:after="0"/>
      <w:outlineLvl w:val="2"/>
    </w:pPr>
    <w:rPr>
      <w:spacing w:val="5"/>
      <w:sz w:val="24"/>
      <w:szCs w:val="24"/>
    </w:rPr>
  </w:style>
  <w:style w:type="paragraph" w:customStyle="1" w:styleId="Titre41">
    <w:name w:val="Titre 41"/>
    <w:basedOn w:val="Normal"/>
    <w:next w:val="Normal"/>
    <w:link w:val="Titre4Car"/>
    <w:uiPriority w:val="9"/>
    <w:semiHidden/>
    <w:unhideWhenUsed/>
    <w:qFormat/>
    <w:rsid w:val="00B30EE6"/>
    <w:pPr>
      <w:spacing w:after="0"/>
      <w:outlineLvl w:val="3"/>
    </w:pPr>
    <w:rPr>
      <w:color w:val="0B5294" w:themeColor="accent1" w:themeShade="BF"/>
      <w:sz w:val="22"/>
      <w:szCs w:val="22"/>
    </w:rPr>
  </w:style>
  <w:style w:type="paragraph" w:customStyle="1" w:styleId="Titre51">
    <w:name w:val="Titre 51"/>
    <w:basedOn w:val="Normal"/>
    <w:next w:val="Normal"/>
    <w:link w:val="Titre5Car"/>
    <w:uiPriority w:val="9"/>
    <w:semiHidden/>
    <w:unhideWhenUsed/>
    <w:qFormat/>
    <w:rsid w:val="00B30EE6"/>
    <w:pPr>
      <w:spacing w:after="0"/>
      <w:outlineLvl w:val="4"/>
    </w:pPr>
    <w:rPr>
      <w:i/>
      <w:color w:val="0B5294" w:themeColor="accent1" w:themeShade="BF"/>
      <w:sz w:val="22"/>
      <w:szCs w:val="22"/>
    </w:rPr>
  </w:style>
  <w:style w:type="paragraph" w:customStyle="1" w:styleId="Titre61">
    <w:name w:val="Titre 61"/>
    <w:basedOn w:val="Normal"/>
    <w:next w:val="Normal"/>
    <w:link w:val="Titre6Car"/>
    <w:uiPriority w:val="9"/>
    <w:semiHidden/>
    <w:unhideWhenUsed/>
    <w:qFormat/>
    <w:rsid w:val="00B30EE6"/>
    <w:pPr>
      <w:spacing w:after="0"/>
      <w:outlineLvl w:val="5"/>
    </w:pPr>
    <w:rPr>
      <w:b/>
      <w:color w:val="0B5294" w:themeColor="accent1" w:themeShade="BF"/>
    </w:rPr>
  </w:style>
  <w:style w:type="paragraph" w:customStyle="1" w:styleId="Titre71">
    <w:name w:val="Titre 71"/>
    <w:basedOn w:val="Normal"/>
    <w:next w:val="Normal"/>
    <w:link w:val="Titre7Car"/>
    <w:uiPriority w:val="9"/>
    <w:semiHidden/>
    <w:unhideWhenUsed/>
    <w:qFormat/>
    <w:rsid w:val="00B30EE6"/>
    <w:pPr>
      <w:spacing w:after="0"/>
      <w:outlineLvl w:val="6"/>
    </w:pPr>
    <w:rPr>
      <w:b/>
      <w:i/>
      <w:color w:val="0B5294" w:themeColor="accent1" w:themeShade="BF"/>
    </w:rPr>
  </w:style>
  <w:style w:type="paragraph" w:customStyle="1" w:styleId="Titre81">
    <w:name w:val="Titre 81"/>
    <w:basedOn w:val="Normal"/>
    <w:next w:val="Normal"/>
    <w:link w:val="Titre8Car"/>
    <w:uiPriority w:val="9"/>
    <w:semiHidden/>
    <w:unhideWhenUsed/>
    <w:qFormat/>
    <w:rsid w:val="00B30EE6"/>
    <w:pPr>
      <w:spacing w:after="0"/>
      <w:outlineLvl w:val="7"/>
    </w:pPr>
    <w:rPr>
      <w:b/>
      <w:color w:val="0075A2" w:themeColor="accent2" w:themeShade="BF"/>
    </w:rPr>
  </w:style>
  <w:style w:type="paragraph" w:customStyle="1" w:styleId="Titre91">
    <w:name w:val="Titre 91"/>
    <w:basedOn w:val="Normal"/>
    <w:next w:val="Normal"/>
    <w:link w:val="Titre9Car"/>
    <w:uiPriority w:val="9"/>
    <w:semiHidden/>
    <w:unhideWhenUsed/>
    <w:qFormat/>
    <w:rsid w:val="00B30EE6"/>
    <w:pPr>
      <w:spacing w:after="0"/>
      <w:outlineLvl w:val="8"/>
    </w:pPr>
    <w:rPr>
      <w:b/>
      <w:i/>
      <w:color w:val="0075A2" w:themeColor="accent2" w:themeShade="BF"/>
      <w:sz w:val="18"/>
      <w:szCs w:val="18"/>
    </w:rPr>
  </w:style>
  <w:style w:type="character" w:customStyle="1" w:styleId="Titre1Car">
    <w:name w:val="Titre 1 Car"/>
    <w:basedOn w:val="Policepardfaut"/>
    <w:link w:val="Titre11"/>
    <w:uiPriority w:val="9"/>
    <w:rsid w:val="00B30EE6"/>
    <w:rPr>
      <w:rFonts w:ascii="Century Schoolbook" w:hAnsi="Century Schoolbook" w:cs="Century Schoolbook"/>
      <w:smallCaps/>
      <w:color w:val="112F51" w:themeColor="text2" w:themeShade="BF"/>
      <w:spacing w:val="5"/>
      <w:sz w:val="32"/>
      <w:szCs w:val="32"/>
    </w:rPr>
  </w:style>
  <w:style w:type="character" w:customStyle="1" w:styleId="Titre2Car">
    <w:name w:val="Titre 2 Car"/>
    <w:basedOn w:val="Policepardfaut"/>
    <w:link w:val="Titre21"/>
    <w:uiPriority w:val="9"/>
    <w:rsid w:val="00B30EE6"/>
    <w:rPr>
      <w:rFonts w:ascii="Century Schoolbook" w:hAnsi="Century Schoolbook" w:cs="Century Schoolbook"/>
      <w:color w:val="112F51" w:themeColor="text2" w:themeShade="BF"/>
      <w:sz w:val="28"/>
      <w:szCs w:val="28"/>
    </w:rPr>
  </w:style>
  <w:style w:type="paragraph" w:styleId="Titre">
    <w:name w:val="Title"/>
    <w:basedOn w:val="Normal"/>
    <w:link w:val="TitreCar"/>
    <w:uiPriority w:val="10"/>
    <w:qFormat/>
    <w:rsid w:val="00B30EE6"/>
    <w:rPr>
      <w:smallCaps/>
      <w:color w:val="0F6FC6" w:themeColor="accent1"/>
      <w:spacing w:val="10"/>
      <w:sz w:val="48"/>
      <w:szCs w:val="48"/>
    </w:rPr>
  </w:style>
  <w:style w:type="character" w:customStyle="1" w:styleId="TitreCar">
    <w:name w:val="Titre Car"/>
    <w:basedOn w:val="Policepardfaut"/>
    <w:link w:val="Titre"/>
    <w:uiPriority w:val="10"/>
    <w:rsid w:val="00B30EE6"/>
    <w:rPr>
      <w:rFonts w:ascii="Century Schoolbook" w:hAnsi="Century Schoolbook" w:cs="Century Schoolbook"/>
      <w:smallCaps/>
      <w:color w:val="0F6FC6" w:themeColor="accent1"/>
      <w:spacing w:val="10"/>
      <w:sz w:val="48"/>
      <w:szCs w:val="48"/>
    </w:rPr>
  </w:style>
  <w:style w:type="paragraph" w:styleId="Sous-titre">
    <w:name w:val="Subtitle"/>
    <w:basedOn w:val="Normal"/>
    <w:link w:val="Sous-titreCar"/>
    <w:uiPriority w:val="11"/>
    <w:qFormat/>
    <w:rsid w:val="00B30EE6"/>
    <w:rPr>
      <w:i/>
      <w:color w:val="17406D" w:themeColor="text2"/>
      <w:spacing w:val="5"/>
      <w:sz w:val="24"/>
      <w:szCs w:val="24"/>
    </w:rPr>
  </w:style>
  <w:style w:type="character" w:customStyle="1" w:styleId="Sous-titreCar">
    <w:name w:val="Sous-titre Car"/>
    <w:basedOn w:val="Policepardfaut"/>
    <w:link w:val="Sous-titre"/>
    <w:uiPriority w:val="11"/>
    <w:rsid w:val="00B30EE6"/>
    <w:rPr>
      <w:rFonts w:cs="Century Schoolbook"/>
      <w:i/>
      <w:color w:val="17406D" w:themeColor="text2"/>
      <w:spacing w:val="5"/>
      <w:sz w:val="24"/>
      <w:szCs w:val="24"/>
    </w:rPr>
  </w:style>
  <w:style w:type="paragraph" w:styleId="Textedebulles">
    <w:name w:val="Balloon Text"/>
    <w:basedOn w:val="Normal"/>
    <w:link w:val="TextedebullesCar"/>
    <w:uiPriority w:val="99"/>
    <w:semiHidden/>
    <w:unhideWhenUsed/>
    <w:rsid w:val="00B30EE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30EE6"/>
    <w:rPr>
      <w:rFonts w:ascii="Tahoma" w:hAnsi="Tahoma" w:cs="Tahoma"/>
      <w:color w:val="112F51" w:themeColor="text2" w:themeShade="BF"/>
      <w:sz w:val="16"/>
      <w:szCs w:val="16"/>
    </w:rPr>
  </w:style>
  <w:style w:type="character" w:styleId="Titredulivre">
    <w:name w:val="Book Title"/>
    <w:basedOn w:val="Policepardfaut"/>
    <w:uiPriority w:val="33"/>
    <w:qFormat/>
    <w:rsid w:val="00B30EE6"/>
    <w:rPr>
      <w:rFonts w:cs="Times New Roman"/>
      <w:smallCaps/>
      <w:color w:val="000000"/>
      <w:spacing w:val="10"/>
    </w:rPr>
  </w:style>
  <w:style w:type="numbering" w:customStyle="1" w:styleId="Listepuces1">
    <w:name w:val="Liste à puces1"/>
    <w:uiPriority w:val="99"/>
    <w:rsid w:val="00B30EE6"/>
    <w:pPr>
      <w:numPr>
        <w:numId w:val="1"/>
      </w:numPr>
    </w:pPr>
  </w:style>
  <w:style w:type="paragraph" w:styleId="Lgende">
    <w:name w:val="caption"/>
    <w:basedOn w:val="Normal"/>
    <w:next w:val="Normal"/>
    <w:uiPriority w:val="99"/>
    <w:unhideWhenUsed/>
    <w:rsid w:val="00B30EE6"/>
    <w:pPr>
      <w:spacing w:line="240" w:lineRule="auto"/>
      <w:jc w:val="right"/>
    </w:pPr>
    <w:rPr>
      <w:b/>
      <w:bCs/>
      <w:color w:val="0B5294" w:themeColor="accent1" w:themeShade="BF"/>
      <w:sz w:val="16"/>
      <w:szCs w:val="16"/>
    </w:rPr>
  </w:style>
  <w:style w:type="character" w:styleId="Accentuation">
    <w:name w:val="Emphasis"/>
    <w:uiPriority w:val="20"/>
    <w:qFormat/>
    <w:rsid w:val="00B30EE6"/>
    <w:rPr>
      <w:b/>
      <w:i/>
      <w:color w:val="0B1F36" w:themeColor="text2" w:themeShade="80"/>
      <w:spacing w:val="10"/>
      <w:sz w:val="18"/>
      <w:szCs w:val="18"/>
    </w:rPr>
  </w:style>
  <w:style w:type="paragraph" w:customStyle="1" w:styleId="Pieddepage1">
    <w:name w:val="Pied de page1"/>
    <w:basedOn w:val="Normal"/>
    <w:link w:val="PieddepageCar"/>
    <w:uiPriority w:val="99"/>
    <w:unhideWhenUsed/>
    <w:rsid w:val="00B30EE6"/>
    <w:pPr>
      <w:tabs>
        <w:tab w:val="center" w:pos="4680"/>
        <w:tab w:val="right" w:pos="9360"/>
      </w:tabs>
      <w:spacing w:after="0" w:line="240" w:lineRule="auto"/>
    </w:pPr>
  </w:style>
  <w:style w:type="character" w:customStyle="1" w:styleId="PieddepageCar">
    <w:name w:val="Pied de page Car"/>
    <w:basedOn w:val="Policepardfaut"/>
    <w:link w:val="Pieddepage1"/>
    <w:uiPriority w:val="99"/>
    <w:rsid w:val="00B30EE6"/>
    <w:rPr>
      <w:rFonts w:cs="Century Schoolbook"/>
      <w:color w:val="112F51" w:themeColor="text2" w:themeShade="BF"/>
      <w:sz w:val="20"/>
      <w:szCs w:val="20"/>
    </w:rPr>
  </w:style>
  <w:style w:type="paragraph" w:customStyle="1" w:styleId="En-tte1">
    <w:name w:val="En-tête1"/>
    <w:basedOn w:val="Normal"/>
    <w:link w:val="En-tteCar"/>
    <w:uiPriority w:val="99"/>
    <w:unhideWhenUsed/>
    <w:rsid w:val="00B30EE6"/>
    <w:pPr>
      <w:tabs>
        <w:tab w:val="center" w:pos="4680"/>
        <w:tab w:val="right" w:pos="9360"/>
      </w:tabs>
      <w:spacing w:after="0" w:line="240" w:lineRule="auto"/>
    </w:pPr>
  </w:style>
  <w:style w:type="character" w:customStyle="1" w:styleId="En-tteCar">
    <w:name w:val="En-tête Car"/>
    <w:basedOn w:val="Policepardfaut"/>
    <w:link w:val="En-tte1"/>
    <w:uiPriority w:val="99"/>
    <w:rsid w:val="00B30EE6"/>
    <w:rPr>
      <w:rFonts w:cs="Century Schoolbook"/>
      <w:color w:val="112F51" w:themeColor="text2" w:themeShade="BF"/>
      <w:sz w:val="20"/>
      <w:szCs w:val="20"/>
    </w:rPr>
  </w:style>
  <w:style w:type="character" w:customStyle="1" w:styleId="Titre3Car">
    <w:name w:val="Titre 3 Car"/>
    <w:basedOn w:val="Policepardfaut"/>
    <w:link w:val="Titre31"/>
    <w:uiPriority w:val="9"/>
    <w:semiHidden/>
    <w:rsid w:val="00B30EE6"/>
    <w:rPr>
      <w:rFonts w:ascii="Century Schoolbook" w:hAnsi="Century Schoolbook" w:cs="Century Schoolbook"/>
      <w:color w:val="112F51" w:themeColor="text2" w:themeShade="BF"/>
      <w:spacing w:val="5"/>
      <w:sz w:val="24"/>
      <w:szCs w:val="24"/>
    </w:rPr>
  </w:style>
  <w:style w:type="character" w:customStyle="1" w:styleId="Titre4Car">
    <w:name w:val="Titre 4 Car"/>
    <w:basedOn w:val="Policepardfaut"/>
    <w:link w:val="Titre41"/>
    <w:uiPriority w:val="9"/>
    <w:semiHidden/>
    <w:rsid w:val="00B30EE6"/>
    <w:rPr>
      <w:rFonts w:ascii="Century Schoolbook" w:hAnsi="Century Schoolbook" w:cs="Century Schoolbook"/>
      <w:color w:val="0B5294" w:themeColor="accent1" w:themeShade="BF"/>
    </w:rPr>
  </w:style>
  <w:style w:type="character" w:customStyle="1" w:styleId="Titre5Car">
    <w:name w:val="Titre 5 Car"/>
    <w:basedOn w:val="Policepardfaut"/>
    <w:link w:val="Titre51"/>
    <w:uiPriority w:val="9"/>
    <w:semiHidden/>
    <w:rsid w:val="00B30EE6"/>
    <w:rPr>
      <w:rFonts w:cs="Century Schoolbook"/>
      <w:i/>
      <w:color w:val="0B5294" w:themeColor="accent1" w:themeShade="BF"/>
    </w:rPr>
  </w:style>
  <w:style w:type="character" w:customStyle="1" w:styleId="Titre6Car">
    <w:name w:val="Titre 6 Car"/>
    <w:basedOn w:val="Policepardfaut"/>
    <w:link w:val="Titre61"/>
    <w:uiPriority w:val="9"/>
    <w:semiHidden/>
    <w:rsid w:val="00B30EE6"/>
    <w:rPr>
      <w:rFonts w:cs="Century Schoolbook"/>
      <w:b/>
      <w:color w:val="0B5294" w:themeColor="accent1" w:themeShade="BF"/>
      <w:sz w:val="20"/>
      <w:szCs w:val="20"/>
    </w:rPr>
  </w:style>
  <w:style w:type="character" w:customStyle="1" w:styleId="Titre7Car">
    <w:name w:val="Titre 7 Car"/>
    <w:basedOn w:val="Policepardfaut"/>
    <w:link w:val="Titre71"/>
    <w:uiPriority w:val="9"/>
    <w:semiHidden/>
    <w:rsid w:val="00B30EE6"/>
    <w:rPr>
      <w:rFonts w:cs="Century Schoolbook"/>
      <w:b/>
      <w:i/>
      <w:color w:val="0B5294" w:themeColor="accent1" w:themeShade="BF"/>
      <w:sz w:val="20"/>
      <w:szCs w:val="20"/>
    </w:rPr>
  </w:style>
  <w:style w:type="character" w:customStyle="1" w:styleId="Titre8Car">
    <w:name w:val="Titre 8 Car"/>
    <w:basedOn w:val="Policepardfaut"/>
    <w:link w:val="Titre81"/>
    <w:uiPriority w:val="9"/>
    <w:semiHidden/>
    <w:rsid w:val="00B30EE6"/>
    <w:rPr>
      <w:rFonts w:cs="Century Schoolbook"/>
      <w:b/>
      <w:color w:val="0075A2" w:themeColor="accent2" w:themeShade="BF"/>
      <w:sz w:val="20"/>
      <w:szCs w:val="20"/>
    </w:rPr>
  </w:style>
  <w:style w:type="character" w:customStyle="1" w:styleId="Titre9Car">
    <w:name w:val="Titre 9 Car"/>
    <w:basedOn w:val="Policepardfaut"/>
    <w:link w:val="Titre91"/>
    <w:uiPriority w:val="9"/>
    <w:semiHidden/>
    <w:rsid w:val="00B30EE6"/>
    <w:rPr>
      <w:rFonts w:cs="Century Schoolbook"/>
      <w:b/>
      <w:i/>
      <w:color w:val="0075A2" w:themeColor="accent2" w:themeShade="BF"/>
      <w:sz w:val="18"/>
      <w:szCs w:val="18"/>
    </w:rPr>
  </w:style>
  <w:style w:type="character" w:styleId="Accentuationintense">
    <w:name w:val="Intense Emphasis"/>
    <w:basedOn w:val="Policepardfaut"/>
    <w:uiPriority w:val="21"/>
    <w:qFormat/>
    <w:rsid w:val="00B30EE6"/>
    <w:rPr>
      <w:i/>
      <w:caps/>
      <w:color w:val="0B5294" w:themeColor="accent1" w:themeShade="BF"/>
      <w:spacing w:val="10"/>
      <w:sz w:val="18"/>
      <w:szCs w:val="18"/>
    </w:rPr>
  </w:style>
  <w:style w:type="paragraph" w:styleId="Citation">
    <w:name w:val="Quote"/>
    <w:basedOn w:val="Normal"/>
    <w:link w:val="CitationCar"/>
    <w:uiPriority w:val="29"/>
    <w:qFormat/>
    <w:rsid w:val="00B30EE6"/>
    <w:rPr>
      <w:i/>
    </w:rPr>
  </w:style>
  <w:style w:type="character" w:customStyle="1" w:styleId="CitationCar">
    <w:name w:val="Citation Car"/>
    <w:basedOn w:val="Policepardfaut"/>
    <w:link w:val="Citation"/>
    <w:uiPriority w:val="29"/>
    <w:rsid w:val="00B30EE6"/>
    <w:rPr>
      <w:rFonts w:cs="Century Schoolbook"/>
      <w:i/>
      <w:color w:val="112F51" w:themeColor="text2" w:themeShade="BF"/>
      <w:sz w:val="20"/>
      <w:szCs w:val="20"/>
    </w:rPr>
  </w:style>
  <w:style w:type="paragraph" w:styleId="Citationintense">
    <w:name w:val="Intense Quote"/>
    <w:basedOn w:val="Citation"/>
    <w:link w:val="CitationintenseCar"/>
    <w:uiPriority w:val="30"/>
    <w:qFormat/>
    <w:rsid w:val="00B30EE6"/>
    <w:pPr>
      <w:pBdr>
        <w:bottom w:val="single" w:sz="4" w:space="4" w:color="0F6FC6" w:themeColor="accent1"/>
      </w:pBdr>
      <w:spacing w:line="300" w:lineRule="auto"/>
      <w:ind w:left="936" w:right="936"/>
    </w:pPr>
    <w:rPr>
      <w:i w:val="0"/>
      <w:color w:val="0B5294" w:themeColor="accent1" w:themeShade="BF"/>
    </w:rPr>
  </w:style>
  <w:style w:type="character" w:customStyle="1" w:styleId="CitationintenseCar">
    <w:name w:val="Citation intense Car"/>
    <w:basedOn w:val="Policepardfaut"/>
    <w:link w:val="Citationintense"/>
    <w:uiPriority w:val="30"/>
    <w:rsid w:val="00B30EE6"/>
    <w:rPr>
      <w:rFonts w:cs="Century Schoolbook"/>
      <w:color w:val="0B5294" w:themeColor="accent1" w:themeShade="BF"/>
      <w:sz w:val="20"/>
      <w:szCs w:val="20"/>
    </w:rPr>
  </w:style>
  <w:style w:type="character" w:styleId="Rfrenceintense">
    <w:name w:val="Intense Reference"/>
    <w:basedOn w:val="Policepardfaut"/>
    <w:uiPriority w:val="32"/>
    <w:qFormat/>
    <w:rsid w:val="00B30EE6"/>
    <w:rPr>
      <w:rFonts w:cs="Times New Roman"/>
      <w:b/>
      <w:caps/>
      <w:color w:val="0075A2" w:themeColor="accent2" w:themeShade="BF"/>
      <w:spacing w:val="5"/>
      <w:sz w:val="18"/>
      <w:szCs w:val="18"/>
    </w:rPr>
  </w:style>
  <w:style w:type="paragraph" w:styleId="Paragraphedeliste">
    <w:name w:val="List Paragraph"/>
    <w:basedOn w:val="Normal"/>
    <w:uiPriority w:val="34"/>
    <w:unhideWhenUsed/>
    <w:qFormat/>
    <w:rsid w:val="00B30EE6"/>
    <w:pPr>
      <w:ind w:left="720"/>
      <w:contextualSpacing/>
    </w:pPr>
  </w:style>
  <w:style w:type="paragraph" w:styleId="Retraitnormal">
    <w:name w:val="Normal Indent"/>
    <w:basedOn w:val="Normal"/>
    <w:uiPriority w:val="99"/>
    <w:unhideWhenUsed/>
    <w:rsid w:val="00B30EE6"/>
    <w:pPr>
      <w:ind w:left="720"/>
      <w:contextualSpacing/>
    </w:pPr>
  </w:style>
  <w:style w:type="numbering" w:customStyle="1" w:styleId="Listenumrote">
    <w:name w:val="Liste numérotée"/>
    <w:uiPriority w:val="99"/>
    <w:rsid w:val="00B30EE6"/>
    <w:pPr>
      <w:numPr>
        <w:numId w:val="2"/>
      </w:numPr>
    </w:pPr>
  </w:style>
  <w:style w:type="character" w:styleId="Textedelespacerserv">
    <w:name w:val="Placeholder Text"/>
    <w:basedOn w:val="Policepardfaut"/>
    <w:uiPriority w:val="99"/>
    <w:unhideWhenUsed/>
    <w:rsid w:val="00B30EE6"/>
    <w:rPr>
      <w:color w:val="808080"/>
    </w:rPr>
  </w:style>
  <w:style w:type="character" w:styleId="lev">
    <w:name w:val="Strong"/>
    <w:basedOn w:val="Policepardfaut"/>
    <w:uiPriority w:val="22"/>
    <w:qFormat/>
    <w:rsid w:val="00B30EE6"/>
    <w:rPr>
      <w:b/>
      <w:bCs/>
    </w:rPr>
  </w:style>
  <w:style w:type="character" w:styleId="Accentuationlgre">
    <w:name w:val="Subtle Emphasis"/>
    <w:basedOn w:val="Policepardfaut"/>
    <w:uiPriority w:val="19"/>
    <w:qFormat/>
    <w:rsid w:val="00B30EE6"/>
    <w:rPr>
      <w:i/>
      <w:color w:val="0B5294" w:themeColor="accent1" w:themeShade="BF"/>
    </w:rPr>
  </w:style>
  <w:style w:type="character" w:styleId="Rfrencelgre">
    <w:name w:val="Subtle Reference"/>
    <w:basedOn w:val="Policepardfaut"/>
    <w:uiPriority w:val="31"/>
    <w:qFormat/>
    <w:rsid w:val="00B30EE6"/>
    <w:rPr>
      <w:rFonts w:cs="Times New Roman"/>
      <w:b/>
      <w:i/>
      <w:color w:val="0075A2" w:themeColor="accent2" w:themeShade="BF"/>
    </w:rPr>
  </w:style>
  <w:style w:type="table" w:styleId="Grilledutableau">
    <w:name w:val="Table Grid"/>
    <w:basedOn w:val="TableauNormal"/>
    <w:uiPriority w:val="1"/>
    <w:rsid w:val="00B30E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30EE6"/>
    <w:pPr>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B30EE6"/>
    <w:rPr>
      <w:color w:val="0000FF"/>
      <w:u w:val="single"/>
    </w:rPr>
  </w:style>
  <w:style w:type="character" w:styleId="Lienhypertextesuivivisit">
    <w:name w:val="FollowedHyperlink"/>
    <w:basedOn w:val="Policepardfaut"/>
    <w:uiPriority w:val="99"/>
    <w:semiHidden/>
    <w:unhideWhenUsed/>
    <w:rsid w:val="004F7B09"/>
    <w:rPr>
      <w:color w:val="85DFD0" w:themeColor="followedHyperlink"/>
      <w:u w:val="single"/>
    </w:rPr>
  </w:style>
  <w:style w:type="character" w:customStyle="1" w:styleId="Titre1Car1">
    <w:name w:val="Titre 1 Car1"/>
    <w:basedOn w:val="Policepardfaut"/>
    <w:uiPriority w:val="9"/>
    <w:rsid w:val="00806488"/>
    <w:rPr>
      <w:rFonts w:asciiTheme="majorHAnsi" w:eastAsiaTheme="majorEastAsia" w:hAnsiTheme="majorHAnsi" w:cstheme="majorBidi"/>
      <w:b/>
      <w:bCs/>
      <w:color w:val="0A4E8C" w:themeColor="accent1" w:themeShade="B5"/>
      <w:sz w:val="32"/>
      <w:szCs w:val="32"/>
    </w:rPr>
  </w:style>
  <w:style w:type="character" w:customStyle="1" w:styleId="Mentionnonrsolue1">
    <w:name w:val="Mention non résolue1"/>
    <w:basedOn w:val="Policepardfaut"/>
    <w:uiPriority w:val="99"/>
    <w:semiHidden/>
    <w:unhideWhenUsed/>
    <w:rsid w:val="008A0E30"/>
    <w:rPr>
      <w:color w:val="605E5C"/>
      <w:shd w:val="clear" w:color="auto" w:fill="E1DFDD"/>
    </w:rPr>
  </w:style>
  <w:style w:type="character" w:styleId="Mentionnonrsolue">
    <w:name w:val="Unresolved Mention"/>
    <w:basedOn w:val="Policepardfaut"/>
    <w:uiPriority w:val="99"/>
    <w:semiHidden/>
    <w:unhideWhenUsed/>
    <w:rsid w:val="001C5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269771">
      <w:bodyDiv w:val="1"/>
      <w:marLeft w:val="0"/>
      <w:marRight w:val="0"/>
      <w:marTop w:val="0"/>
      <w:marBottom w:val="0"/>
      <w:divBdr>
        <w:top w:val="none" w:sz="0" w:space="0" w:color="auto"/>
        <w:left w:val="none" w:sz="0" w:space="0" w:color="auto"/>
        <w:bottom w:val="none" w:sz="0" w:space="0" w:color="auto"/>
        <w:right w:val="none" w:sz="0" w:space="0" w:color="auto"/>
      </w:divBdr>
    </w:div>
    <w:div w:id="396323717">
      <w:bodyDiv w:val="1"/>
      <w:marLeft w:val="0"/>
      <w:marRight w:val="0"/>
      <w:marTop w:val="0"/>
      <w:marBottom w:val="0"/>
      <w:divBdr>
        <w:top w:val="none" w:sz="0" w:space="0" w:color="auto"/>
        <w:left w:val="none" w:sz="0" w:space="0" w:color="auto"/>
        <w:bottom w:val="none" w:sz="0" w:space="0" w:color="auto"/>
        <w:right w:val="none" w:sz="0" w:space="0" w:color="auto"/>
      </w:divBdr>
    </w:div>
    <w:div w:id="507066880">
      <w:bodyDiv w:val="1"/>
      <w:marLeft w:val="0"/>
      <w:marRight w:val="0"/>
      <w:marTop w:val="0"/>
      <w:marBottom w:val="0"/>
      <w:divBdr>
        <w:top w:val="none" w:sz="0" w:space="0" w:color="auto"/>
        <w:left w:val="none" w:sz="0" w:space="0" w:color="auto"/>
        <w:bottom w:val="none" w:sz="0" w:space="0" w:color="auto"/>
        <w:right w:val="none" w:sz="0" w:space="0" w:color="auto"/>
      </w:divBdr>
    </w:div>
    <w:div w:id="548228009">
      <w:bodyDiv w:val="1"/>
      <w:marLeft w:val="0"/>
      <w:marRight w:val="0"/>
      <w:marTop w:val="0"/>
      <w:marBottom w:val="0"/>
      <w:divBdr>
        <w:top w:val="none" w:sz="0" w:space="0" w:color="auto"/>
        <w:left w:val="none" w:sz="0" w:space="0" w:color="auto"/>
        <w:bottom w:val="none" w:sz="0" w:space="0" w:color="auto"/>
        <w:right w:val="none" w:sz="0" w:space="0" w:color="auto"/>
      </w:divBdr>
    </w:div>
    <w:div w:id="645015714">
      <w:bodyDiv w:val="1"/>
      <w:marLeft w:val="0"/>
      <w:marRight w:val="0"/>
      <w:marTop w:val="0"/>
      <w:marBottom w:val="0"/>
      <w:divBdr>
        <w:top w:val="none" w:sz="0" w:space="0" w:color="auto"/>
        <w:left w:val="none" w:sz="0" w:space="0" w:color="auto"/>
        <w:bottom w:val="none" w:sz="0" w:space="0" w:color="auto"/>
        <w:right w:val="none" w:sz="0" w:space="0" w:color="auto"/>
      </w:divBdr>
    </w:div>
    <w:div w:id="755443200">
      <w:bodyDiv w:val="1"/>
      <w:marLeft w:val="0"/>
      <w:marRight w:val="0"/>
      <w:marTop w:val="0"/>
      <w:marBottom w:val="0"/>
      <w:divBdr>
        <w:top w:val="none" w:sz="0" w:space="0" w:color="auto"/>
        <w:left w:val="none" w:sz="0" w:space="0" w:color="auto"/>
        <w:bottom w:val="none" w:sz="0" w:space="0" w:color="auto"/>
        <w:right w:val="none" w:sz="0" w:space="0" w:color="auto"/>
      </w:divBdr>
    </w:div>
    <w:div w:id="1040470662">
      <w:bodyDiv w:val="1"/>
      <w:marLeft w:val="0"/>
      <w:marRight w:val="0"/>
      <w:marTop w:val="0"/>
      <w:marBottom w:val="0"/>
      <w:divBdr>
        <w:top w:val="none" w:sz="0" w:space="0" w:color="auto"/>
        <w:left w:val="none" w:sz="0" w:space="0" w:color="auto"/>
        <w:bottom w:val="none" w:sz="0" w:space="0" w:color="auto"/>
        <w:right w:val="none" w:sz="0" w:space="0" w:color="auto"/>
      </w:divBdr>
    </w:div>
    <w:div w:id="1243682251">
      <w:bodyDiv w:val="1"/>
      <w:marLeft w:val="0"/>
      <w:marRight w:val="0"/>
      <w:marTop w:val="0"/>
      <w:marBottom w:val="0"/>
      <w:divBdr>
        <w:top w:val="none" w:sz="0" w:space="0" w:color="auto"/>
        <w:left w:val="none" w:sz="0" w:space="0" w:color="auto"/>
        <w:bottom w:val="none" w:sz="0" w:space="0" w:color="auto"/>
        <w:right w:val="none" w:sz="0" w:space="0" w:color="auto"/>
      </w:divBdr>
    </w:div>
    <w:div w:id="1346053752">
      <w:bodyDiv w:val="1"/>
      <w:marLeft w:val="0"/>
      <w:marRight w:val="0"/>
      <w:marTop w:val="0"/>
      <w:marBottom w:val="0"/>
      <w:divBdr>
        <w:top w:val="none" w:sz="0" w:space="0" w:color="auto"/>
        <w:left w:val="none" w:sz="0" w:space="0" w:color="auto"/>
        <w:bottom w:val="none" w:sz="0" w:space="0" w:color="auto"/>
        <w:right w:val="none" w:sz="0" w:space="0" w:color="auto"/>
      </w:divBdr>
    </w:div>
    <w:div w:id="1442797000">
      <w:bodyDiv w:val="1"/>
      <w:marLeft w:val="0"/>
      <w:marRight w:val="0"/>
      <w:marTop w:val="0"/>
      <w:marBottom w:val="0"/>
      <w:divBdr>
        <w:top w:val="none" w:sz="0" w:space="0" w:color="auto"/>
        <w:left w:val="none" w:sz="0" w:space="0" w:color="auto"/>
        <w:bottom w:val="none" w:sz="0" w:space="0" w:color="auto"/>
        <w:right w:val="none" w:sz="0" w:space="0" w:color="auto"/>
      </w:divBdr>
    </w:div>
    <w:div w:id="1554579717">
      <w:bodyDiv w:val="1"/>
      <w:marLeft w:val="0"/>
      <w:marRight w:val="0"/>
      <w:marTop w:val="0"/>
      <w:marBottom w:val="0"/>
      <w:divBdr>
        <w:top w:val="none" w:sz="0" w:space="0" w:color="auto"/>
        <w:left w:val="none" w:sz="0" w:space="0" w:color="auto"/>
        <w:bottom w:val="none" w:sz="0" w:space="0" w:color="auto"/>
        <w:right w:val="none" w:sz="0" w:space="0" w:color="auto"/>
      </w:divBdr>
    </w:div>
    <w:div w:id="1614287088">
      <w:bodyDiv w:val="1"/>
      <w:marLeft w:val="0"/>
      <w:marRight w:val="0"/>
      <w:marTop w:val="0"/>
      <w:marBottom w:val="0"/>
      <w:divBdr>
        <w:top w:val="none" w:sz="0" w:space="0" w:color="auto"/>
        <w:left w:val="none" w:sz="0" w:space="0" w:color="auto"/>
        <w:bottom w:val="none" w:sz="0" w:space="0" w:color="auto"/>
        <w:right w:val="none" w:sz="0" w:space="0" w:color="auto"/>
      </w:divBdr>
    </w:div>
    <w:div w:id="1657605839">
      <w:bodyDiv w:val="1"/>
      <w:marLeft w:val="0"/>
      <w:marRight w:val="0"/>
      <w:marTop w:val="0"/>
      <w:marBottom w:val="0"/>
      <w:divBdr>
        <w:top w:val="none" w:sz="0" w:space="0" w:color="auto"/>
        <w:left w:val="none" w:sz="0" w:space="0" w:color="auto"/>
        <w:bottom w:val="none" w:sz="0" w:space="0" w:color="auto"/>
        <w:right w:val="none" w:sz="0" w:space="0" w:color="auto"/>
      </w:divBdr>
    </w:div>
    <w:div w:id="1773430334">
      <w:bodyDiv w:val="1"/>
      <w:marLeft w:val="0"/>
      <w:marRight w:val="0"/>
      <w:marTop w:val="0"/>
      <w:marBottom w:val="0"/>
      <w:divBdr>
        <w:top w:val="none" w:sz="0" w:space="0" w:color="auto"/>
        <w:left w:val="none" w:sz="0" w:space="0" w:color="auto"/>
        <w:bottom w:val="none" w:sz="0" w:space="0" w:color="auto"/>
        <w:right w:val="none" w:sz="0" w:space="0" w:color="auto"/>
      </w:divBdr>
    </w:div>
    <w:div w:id="1941719535">
      <w:bodyDiv w:val="1"/>
      <w:marLeft w:val="0"/>
      <w:marRight w:val="0"/>
      <w:marTop w:val="0"/>
      <w:marBottom w:val="0"/>
      <w:divBdr>
        <w:top w:val="none" w:sz="0" w:space="0" w:color="auto"/>
        <w:left w:val="none" w:sz="0" w:space="0" w:color="auto"/>
        <w:bottom w:val="none" w:sz="0" w:space="0" w:color="auto"/>
        <w:right w:val="none" w:sz="0" w:space="0" w:color="auto"/>
      </w:divBdr>
    </w:div>
    <w:div w:id="2049840707">
      <w:bodyDiv w:val="1"/>
      <w:marLeft w:val="0"/>
      <w:marRight w:val="0"/>
      <w:marTop w:val="0"/>
      <w:marBottom w:val="0"/>
      <w:divBdr>
        <w:top w:val="none" w:sz="0" w:space="0" w:color="auto"/>
        <w:left w:val="none" w:sz="0" w:space="0" w:color="auto"/>
        <w:bottom w:val="none" w:sz="0" w:space="0" w:color="auto"/>
        <w:right w:val="none" w:sz="0" w:space="0" w:color="auto"/>
      </w:divBdr>
    </w:div>
    <w:div w:id="209461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ens-lyon.fr/ressources/stats-a-la-une/levolution-de-la-duree-du-travail-en-france-depuis-1950"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yperlink" Target="https://doi.org/10.1787/10f0135f-fr" TargetMode="External"/><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yperlink" Target="https://doi.org/10.1787/10f0135f-fr" TargetMode="External"/><Relationship Id="rId47" Type="http://schemas.openxmlformats.org/officeDocument/2006/relationships/image" Target="media/image2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hyperlink" Target="https://doi.org/10.1787/10f0135f-fr" TargetMode="External"/><Relationship Id="rId32" Type="http://schemas.openxmlformats.org/officeDocument/2006/relationships/image" Target="media/image18.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i.org/10.1787/10f0135f-fr" TargetMode="External"/><Relationship Id="rId19" Type="http://schemas.openxmlformats.org/officeDocument/2006/relationships/hyperlink" Target="https://doi.org/10.1787/10f0135f-fr" TargetMode="External"/><Relationship Id="rId31" Type="http://schemas.openxmlformats.org/officeDocument/2006/relationships/image" Target="media/image17.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doi.org/10.1787/10f0135f-fr" TargetMode="External"/><Relationship Id="rId30" Type="http://schemas.openxmlformats.org/officeDocument/2006/relationships/hyperlink" Target="https://doi.org/10.1787/10f0135f-fr" TargetMode="External"/><Relationship Id="rId35" Type="http://schemas.openxmlformats.org/officeDocument/2006/relationships/hyperlink" Target="https://doi.org/10.1787/10f0135f-fr" TargetMode="External"/><Relationship Id="rId43" Type="http://schemas.openxmlformats.org/officeDocument/2006/relationships/image" Target="media/image25.png"/><Relationship Id="rId48"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hyperlink" Target="https://doi.org/10.1787/10f0135f-fr" TargetMode="External"/><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ata.oecd.org/fr/socialexp/depenses-de-retraite.htm" TargetMode="External"/><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s://doi.org/10.1787/10f0135f-fr" TargetMode="External"/><Relationship Id="rId49" Type="http://schemas.openxmlformats.org/officeDocument/2006/relationships/hyperlink" Target="https://doi.org/10.1787/10f0135f-fr"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eurofound.europa.eu/fr/data/european-working-conditions-survey" TargetMode="External"/><Relationship Id="rId13" Type="http://schemas.openxmlformats.org/officeDocument/2006/relationships/hyperlink" Target="https://dares.travail-emploi.gouv.fr/DARES-Etudes-et-statistiques/etudes-et-syntheses/dares-analyses-dares-indicateurs-dares-resultats/article/la-revalorisation-du-smic-au-1er-janvier-2019" TargetMode="External"/><Relationship Id="rId3" Type="http://schemas.openxmlformats.org/officeDocument/2006/relationships/hyperlink" Target="http://www.oecd.org/fr/economie/etudes/France-2019-OCDE-etude-economique-synthese.pdf" TargetMode="External"/><Relationship Id="rId7" Type="http://schemas.openxmlformats.org/officeDocument/2006/relationships/hyperlink" Target="https://dares.travail-emploi.gouv.fr/IMG/pdf/tableau_de_bord_seniors_.pdf" TargetMode="External"/><Relationship Id="rId12" Type="http://schemas.openxmlformats.org/officeDocument/2006/relationships/hyperlink" Target="https://www.cepremap.fr/publications/la-societe-de-defiance-comment-le-modele-social-francais-sautodetruit/" TargetMode="External"/><Relationship Id="rId17" Type="http://schemas.openxmlformats.org/officeDocument/2006/relationships/hyperlink" Target="https://dares.travail-emploi.gouv.fr/IMG/pdf/2009-12-50-1.pdf" TargetMode="External"/><Relationship Id="rId2" Type="http://schemas.openxmlformats.org/officeDocument/2006/relationships/hyperlink" Target="http://www.oecd.org/fr/economie/etudes/France-2019-OCDE-etude-economique-synthese.pdf" TargetMode="External"/><Relationship Id="rId16" Type="http://schemas.openxmlformats.org/officeDocument/2006/relationships/hyperlink" Target="https://dares.travail-emploi.gouv.fr/IMG/pdf/2009-12-50-1.pdf" TargetMode="External"/><Relationship Id="rId1" Type="http://schemas.openxmlformats.org/officeDocument/2006/relationships/hyperlink" Target="http://www.oecd.org/fr/economie/etudes/France-2019-OCDE-etude-economique-synthese.pdf" TargetMode="External"/><Relationship Id="rId6" Type="http://schemas.openxmlformats.org/officeDocument/2006/relationships/hyperlink" Target="https://www.strategie.gouv.fr/infographies/seniors-lemploi-retraite" TargetMode="External"/><Relationship Id="rId11" Type="http://schemas.openxmlformats.org/officeDocument/2006/relationships/hyperlink" Target="https://stats.oecd.org/viewhtml.aspx?datasetcode=TUD&amp;lang=fr" TargetMode="External"/><Relationship Id="rId5" Type="http://schemas.openxmlformats.org/officeDocument/2006/relationships/hyperlink" Target="http://ses.ens-lyon.fr/ressources/stats-a-la-une/levolution-de-la-duree-du-travail-en-france-depuis-1950" TargetMode="External"/><Relationship Id="rId15" Type="http://schemas.openxmlformats.org/officeDocument/2006/relationships/hyperlink" Target="https://www.hofstede-insights.com/country-comparison/australia,france,sweden/" TargetMode="External"/><Relationship Id="rId10" Type="http://schemas.openxmlformats.org/officeDocument/2006/relationships/hyperlink" Target="https://www.insee.fr/fr/statistiques/4182935?sommaire=4182950" TargetMode="External"/><Relationship Id="rId4" Type="http://schemas.openxmlformats.org/officeDocument/2006/relationships/hyperlink" Target="https://europeanvaluesstudy.eu/methodology-data-documentation/survey-2017/" TargetMode="External"/><Relationship Id="rId9" Type="http://schemas.openxmlformats.org/officeDocument/2006/relationships/hyperlink" Target="https://www.eurofound.europa.eu/fr/data/european-working-conditions-survey" TargetMode="External"/><Relationship Id="rId14" Type="http://schemas.openxmlformats.org/officeDocument/2006/relationships/hyperlink" Target="https://www.oecd.org/sdd/productivity-stats/7%20Session%203a%20-%20Genakos%20-%20AMP.pdf" TargetMode="External"/></Relationships>
</file>

<file path=word/theme/theme1.xml><?xml version="1.0" encoding="utf-8"?>
<a:theme xmlns:a="http://schemas.openxmlformats.org/drawingml/2006/main" name="Oriel">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riel">
      <a:majorFont>
        <a:latin typeface="Century Schoolbook"/>
        <a:ea typeface="Arial"/>
        <a:cs typeface="Arial"/>
      </a:majorFont>
      <a:minorFont>
        <a:latin typeface="Century Schoolbook"/>
        <a:ea typeface="Arial"/>
        <a:cs typeface="Arial"/>
      </a:minorFont>
    </a:fontScheme>
    <a:fmtScheme name="Oriel">
      <a:fillStyleLst>
        <a:solidFill>
          <a:schemeClr val="phClr"/>
        </a:solidFill>
        <a:gradFill>
          <a:gsLst>
            <a:gs pos="0">
              <a:schemeClr val="phClr">
                <a:tint val="39000"/>
                <a:satMod val="260000"/>
              </a:schemeClr>
            </a:gs>
            <a:gs pos="30000">
              <a:schemeClr val="phClr">
                <a:tint val="39000"/>
                <a:satMod val="260000"/>
              </a:schemeClr>
            </a:gs>
            <a:gs pos="75000">
              <a:schemeClr val="phClr">
                <a:tint val="55000"/>
                <a:satMod val="255000"/>
              </a:schemeClr>
            </a:gs>
            <a:gs pos="100000">
              <a:schemeClr val="phClr">
                <a:tint val="70000"/>
                <a:satMod val="255000"/>
              </a:schemeClr>
            </a:gs>
          </a:gsLst>
          <a:path path="circle"/>
        </a:gradFill>
        <a:gradFill>
          <a:gsLst>
            <a:gs pos="0">
              <a:schemeClr val="phClr">
                <a:shade val="63000"/>
                <a:satMod val="170000"/>
              </a:schemeClr>
            </a:gs>
            <a:gs pos="30000">
              <a:schemeClr val="phClr">
                <a:shade val="58000"/>
                <a:satMod val="170000"/>
              </a:schemeClr>
            </a:gs>
            <a:gs pos="75000">
              <a:schemeClr val="phClr">
                <a:shade val="31000"/>
                <a:satMod val="170000"/>
              </a:schemeClr>
            </a:gs>
            <a:gs pos="100000">
              <a:schemeClr val="phClr">
                <a:shade val="15000"/>
                <a:satMod val="170000"/>
              </a:schemeClr>
            </a:gs>
          </a:gsLst>
          <a:path path="circle"/>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9D0DB-57A9-4555-8CD9-CA7383E77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896</TotalTime>
  <Pages>24</Pages>
  <Words>3670</Words>
  <Characters>20185</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Le travail en France : éléments de comparaison internationale</vt:lpstr>
    </vt:vector>
  </TitlesOfParts>
  <Company/>
  <LinksUpToDate>false</LinksUpToDate>
  <CharactersWithSpaces>23808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travail en France : éléments de comparaison internationale</dc:title>
  <dc:subject>Conférence de Pierre-Michel MENGER, professeur de sociologie, Collège de France</dc:subject>
  <dc:creator>cbruet</dc:creator>
  <cp:lastModifiedBy>celine</cp:lastModifiedBy>
  <cp:revision>310</cp:revision>
  <dcterms:created xsi:type="dcterms:W3CDTF">2020-05-17T16:17:00Z</dcterms:created>
  <dcterms:modified xsi:type="dcterms:W3CDTF">2020-05-19T16:32:00Z</dcterms:modified>
  <cp:version/>
</cp:coreProperties>
</file>