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42D3F" w14:textId="77777777" w:rsidR="00B9237B" w:rsidRPr="00FB795B" w:rsidRDefault="00207DE6">
      <w:pPr>
        <w:rPr>
          <w:b/>
        </w:rPr>
      </w:pPr>
      <w:bookmarkStart w:id="0" w:name="_GoBack"/>
      <w:bookmarkEnd w:id="0"/>
      <w:r>
        <w:rPr>
          <w:b/>
        </w:rPr>
        <w:t>E3C.1</w:t>
      </w:r>
    </w:p>
    <w:p w14:paraId="0518AC0C" w14:textId="77777777" w:rsidR="00B9237B" w:rsidRDefault="00B9237B"/>
    <w:tbl>
      <w:tblPr>
        <w:tblStyle w:val="Grilledutableau"/>
        <w:tblW w:w="10726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3096"/>
        <w:gridCol w:w="7630"/>
      </w:tblGrid>
      <w:tr w:rsidR="00FB795B" w14:paraId="47F684BD" w14:textId="77777777" w:rsidTr="00207DE6">
        <w:trPr>
          <w:trHeight w:val="639"/>
        </w:trPr>
        <w:tc>
          <w:tcPr>
            <w:tcW w:w="3096" w:type="dxa"/>
            <w:shd w:val="clear" w:color="auto" w:fill="auto"/>
            <w:tcMar>
              <w:left w:w="63" w:type="dxa"/>
            </w:tcMar>
          </w:tcPr>
          <w:p w14:paraId="1E8CF9E4" w14:textId="77777777" w:rsidR="00FB795B" w:rsidRDefault="00FB795B" w:rsidP="00207DE6">
            <w:pPr>
              <w:jc w:val="both"/>
            </w:pPr>
            <w:r>
              <w:rPr>
                <w:rFonts w:eastAsia="Calibri" w:cstheme="minorHAnsi"/>
                <w:b/>
                <w:color w:val="00000A"/>
              </w:rPr>
              <w:t>Niveau</w:t>
            </w:r>
          </w:p>
        </w:tc>
        <w:tc>
          <w:tcPr>
            <w:tcW w:w="7629" w:type="dxa"/>
            <w:shd w:val="clear" w:color="auto" w:fill="auto"/>
            <w:tcMar>
              <w:left w:w="63" w:type="dxa"/>
            </w:tcMar>
          </w:tcPr>
          <w:p w14:paraId="215B55C7" w14:textId="77777777" w:rsidR="00FB795B" w:rsidRDefault="00FB795B" w:rsidP="00207DE6">
            <w:r>
              <w:rPr>
                <w:rFonts w:eastAsia="Calibri" w:cstheme="minorHAnsi"/>
                <w:b/>
                <w:color w:val="00000A"/>
              </w:rPr>
              <w:t>Première –</w:t>
            </w:r>
            <w:r w:rsidR="00207DE6">
              <w:rPr>
                <w:rFonts w:eastAsia="Calibri" w:cstheme="minorHAnsi"/>
                <w:b/>
                <w:color w:val="00000A"/>
              </w:rPr>
              <w:t xml:space="preserve"> </w:t>
            </w:r>
            <w:r>
              <w:rPr>
                <w:rFonts w:eastAsia="Calibri" w:cstheme="minorHAnsi"/>
                <w:b/>
                <w:color w:val="00000A"/>
              </w:rPr>
              <w:t xml:space="preserve">Sociologie </w:t>
            </w:r>
          </w:p>
        </w:tc>
      </w:tr>
      <w:tr w:rsidR="00FB795B" w14:paraId="1247FC22" w14:textId="77777777" w:rsidTr="00207DE6">
        <w:trPr>
          <w:trHeight w:val="779"/>
        </w:trPr>
        <w:tc>
          <w:tcPr>
            <w:tcW w:w="3096" w:type="dxa"/>
            <w:shd w:val="clear" w:color="auto" w:fill="auto"/>
            <w:tcMar>
              <w:left w:w="63" w:type="dxa"/>
            </w:tcMar>
          </w:tcPr>
          <w:p w14:paraId="574F3182" w14:textId="77777777" w:rsidR="00FB795B" w:rsidRDefault="00FB795B" w:rsidP="00207DE6">
            <w:pPr>
              <w:jc w:val="both"/>
            </w:pPr>
            <w:r>
              <w:rPr>
                <w:rFonts w:eastAsia="Calibri" w:cstheme="minorHAnsi"/>
                <w:b/>
                <w:color w:val="00000A"/>
              </w:rPr>
              <w:t>Questionnement</w:t>
            </w:r>
          </w:p>
          <w:p w14:paraId="142B22D1" w14:textId="77777777" w:rsidR="00FB795B" w:rsidRDefault="00FB795B" w:rsidP="00207DE6">
            <w:pPr>
              <w:jc w:val="both"/>
            </w:pPr>
            <w:r>
              <w:rPr>
                <w:rFonts w:eastAsia="Calibri" w:cstheme="minorHAnsi"/>
                <w:color w:val="00000A"/>
              </w:rPr>
              <w:t>(cf. programme)</w:t>
            </w:r>
          </w:p>
        </w:tc>
        <w:tc>
          <w:tcPr>
            <w:tcW w:w="7629" w:type="dxa"/>
            <w:shd w:val="clear" w:color="auto" w:fill="auto"/>
            <w:tcMar>
              <w:left w:w="63" w:type="dxa"/>
            </w:tcMar>
          </w:tcPr>
          <w:p w14:paraId="55E3768E" w14:textId="77777777" w:rsidR="00FB795B" w:rsidRDefault="00207DE6" w:rsidP="00207DE6">
            <w:pPr>
              <w:jc w:val="both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  <w:color w:val="00000A"/>
              </w:rPr>
              <w:t>COMMENT SE CONSTRUISENT ET EVOLUENT LES LIENS SOCIAUX ?</w:t>
            </w:r>
          </w:p>
        </w:tc>
      </w:tr>
      <w:tr w:rsidR="00FB795B" w14:paraId="608C5B78" w14:textId="77777777" w:rsidTr="0018690F">
        <w:trPr>
          <w:trHeight w:val="1839"/>
        </w:trPr>
        <w:tc>
          <w:tcPr>
            <w:tcW w:w="3096" w:type="dxa"/>
            <w:shd w:val="clear" w:color="auto" w:fill="auto"/>
            <w:tcMar>
              <w:left w:w="63" w:type="dxa"/>
            </w:tcMar>
          </w:tcPr>
          <w:p w14:paraId="6EA04FF5" w14:textId="77777777" w:rsidR="00FB795B" w:rsidRDefault="00FB795B" w:rsidP="00207DE6">
            <w:pPr>
              <w:jc w:val="both"/>
            </w:pPr>
            <w:r>
              <w:rPr>
                <w:rFonts w:eastAsia="Calibri" w:cstheme="minorHAnsi"/>
                <w:b/>
                <w:color w:val="00000A"/>
              </w:rPr>
              <w:t>Objectifs d’apprentissage</w:t>
            </w:r>
          </w:p>
          <w:p w14:paraId="17285F45" w14:textId="77777777" w:rsidR="00FB795B" w:rsidRDefault="00FB795B" w:rsidP="00207DE6">
            <w:pPr>
              <w:jc w:val="both"/>
            </w:pPr>
            <w:r>
              <w:rPr>
                <w:rFonts w:eastAsia="Calibri" w:cstheme="minorHAnsi"/>
                <w:color w:val="00000A"/>
              </w:rPr>
              <w:t>(cf. programme)</w:t>
            </w:r>
          </w:p>
        </w:tc>
        <w:tc>
          <w:tcPr>
            <w:tcW w:w="7629" w:type="dxa"/>
            <w:shd w:val="clear" w:color="auto" w:fill="auto"/>
            <w:tcMar>
              <w:left w:w="63" w:type="dxa"/>
            </w:tcMar>
          </w:tcPr>
          <w:p w14:paraId="02DB97E3" w14:textId="77777777" w:rsidR="00FB795B" w:rsidRDefault="00207DE6" w:rsidP="00207DE6">
            <w:pPr>
              <w:jc w:val="both"/>
              <w:rPr>
                <w:rFonts w:eastAsia="Calibri" w:cstheme="minorHAnsi"/>
                <w:i/>
                <w:color w:val="00000A"/>
              </w:rPr>
            </w:pPr>
            <w:r>
              <w:rPr>
                <w:rFonts w:eastAsia="Calibri" w:cstheme="minorHAnsi"/>
                <w:i/>
                <w:color w:val="00000A"/>
              </w:rPr>
              <w:t>Evaluation du chapitre</w:t>
            </w:r>
          </w:p>
          <w:p w14:paraId="5FBFEA4C" w14:textId="42D518E0" w:rsidR="00FB795B" w:rsidRDefault="00207DE6" w:rsidP="0018690F">
            <w:pPr>
              <w:pStyle w:val="NormalWeb"/>
              <w:rPr>
                <w:rFonts w:eastAsia="Calibri" w:cstheme="minorHAnsi"/>
                <w:b/>
                <w:color w:val="00000A"/>
              </w:rPr>
            </w:pPr>
            <w:r>
              <w:rPr>
                <w:rFonts w:ascii="Arial" w:hAnsi="Arial" w:cs="Arial"/>
                <w:i/>
                <w:iCs/>
              </w:rPr>
              <w:t xml:space="preserve">- </w:t>
            </w:r>
            <w:r w:rsidR="002A6B5B">
              <w:rPr>
                <w:rFonts w:ascii="Arial" w:hAnsi="Arial" w:cs="Arial"/>
                <w:i/>
                <w:iCs/>
              </w:rPr>
              <w:t>Première</w:t>
            </w:r>
            <w:r>
              <w:rPr>
                <w:rFonts w:ascii="Arial" w:hAnsi="Arial" w:cs="Arial"/>
                <w:i/>
                <w:iCs/>
              </w:rPr>
              <w:t xml:space="preserve"> partie (Mobilisation de connaissances et traitement de l’information), il est demandé au candidat de </w:t>
            </w:r>
            <w:r w:rsidR="002A6B5B">
              <w:rPr>
                <w:rFonts w:ascii="Arial" w:hAnsi="Arial" w:cs="Arial"/>
                <w:i/>
                <w:iCs/>
              </w:rPr>
              <w:t>répondre</w:t>
            </w:r>
            <w:r>
              <w:rPr>
                <w:rFonts w:ascii="Arial" w:hAnsi="Arial" w:cs="Arial"/>
                <w:i/>
                <w:iCs/>
              </w:rPr>
              <w:t xml:space="preserve"> aux questions en mobilisant les connaissances acquises dans le cadre du programme, en adoptant une </w:t>
            </w:r>
            <w:r w:rsidR="002A6B5B">
              <w:rPr>
                <w:rFonts w:ascii="Arial" w:hAnsi="Arial" w:cs="Arial"/>
                <w:i/>
                <w:iCs/>
              </w:rPr>
              <w:t>démarche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2A6B5B">
              <w:rPr>
                <w:rFonts w:ascii="Arial" w:hAnsi="Arial" w:cs="Arial"/>
                <w:i/>
                <w:iCs/>
              </w:rPr>
              <w:t>méthodologique</w:t>
            </w:r>
            <w:r>
              <w:rPr>
                <w:rFonts w:ascii="Arial" w:hAnsi="Arial" w:cs="Arial"/>
                <w:i/>
                <w:iCs/>
              </w:rPr>
              <w:t xml:space="preserve"> rigoureuse de collecte et d’exploitation de </w:t>
            </w:r>
            <w:r w:rsidR="002A6B5B">
              <w:rPr>
                <w:rFonts w:ascii="Arial" w:hAnsi="Arial" w:cs="Arial"/>
                <w:i/>
                <w:iCs/>
              </w:rPr>
              <w:t>données</w:t>
            </w:r>
            <w:r>
              <w:rPr>
                <w:rFonts w:ascii="Arial" w:hAnsi="Arial" w:cs="Arial"/>
                <w:i/>
                <w:iCs/>
              </w:rPr>
              <w:t xml:space="preserve"> quantitatives, et en ayant recours le cas </w:t>
            </w:r>
            <w:r w:rsidR="002A6B5B">
              <w:rPr>
                <w:rFonts w:ascii="Arial" w:hAnsi="Arial" w:cs="Arial"/>
                <w:i/>
                <w:iCs/>
              </w:rPr>
              <w:t>échéant</w:t>
            </w:r>
            <w:r>
              <w:rPr>
                <w:rFonts w:ascii="Arial" w:hAnsi="Arial" w:cs="Arial"/>
                <w:i/>
                <w:iCs/>
              </w:rPr>
              <w:t xml:space="preserve"> à des </w:t>
            </w:r>
            <w:r w:rsidR="002A6B5B">
              <w:rPr>
                <w:rFonts w:ascii="Arial" w:hAnsi="Arial" w:cs="Arial"/>
                <w:i/>
                <w:iCs/>
              </w:rPr>
              <w:t>résolutions</w:t>
            </w:r>
            <w:r>
              <w:rPr>
                <w:rFonts w:ascii="Arial" w:hAnsi="Arial" w:cs="Arial"/>
                <w:i/>
                <w:iCs/>
              </w:rPr>
              <w:t xml:space="preserve"> graphiques. </w:t>
            </w:r>
          </w:p>
        </w:tc>
      </w:tr>
      <w:tr w:rsidR="00FB795B" w14:paraId="4BC27CAE" w14:textId="77777777" w:rsidTr="0018690F">
        <w:trPr>
          <w:trHeight w:val="970"/>
        </w:trPr>
        <w:tc>
          <w:tcPr>
            <w:tcW w:w="3096" w:type="dxa"/>
            <w:shd w:val="clear" w:color="auto" w:fill="auto"/>
            <w:tcMar>
              <w:left w:w="63" w:type="dxa"/>
            </w:tcMar>
          </w:tcPr>
          <w:p w14:paraId="039E0016" w14:textId="77777777" w:rsidR="00FB795B" w:rsidRDefault="00FB795B" w:rsidP="00207DE6">
            <w:pPr>
              <w:jc w:val="both"/>
            </w:pPr>
            <w:r>
              <w:rPr>
                <w:rFonts w:eastAsia="Calibri" w:cstheme="minorHAnsi"/>
                <w:b/>
                <w:color w:val="00000A"/>
              </w:rPr>
              <w:t>Objectifs de la séquence (en termes de savoirs, savoir-faire et compétences transversales)</w:t>
            </w:r>
          </w:p>
        </w:tc>
        <w:tc>
          <w:tcPr>
            <w:tcW w:w="7629" w:type="dxa"/>
            <w:shd w:val="clear" w:color="auto" w:fill="auto"/>
            <w:tcMar>
              <w:left w:w="63" w:type="dxa"/>
            </w:tcMar>
          </w:tcPr>
          <w:p w14:paraId="5F75F846" w14:textId="77777777" w:rsidR="00FB795B" w:rsidRDefault="00207DE6" w:rsidP="00207DE6">
            <w:pPr>
              <w:jc w:val="both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  <w:color w:val="00000A"/>
              </w:rPr>
              <w:t>Réaliser une évaluation de type examen</w:t>
            </w:r>
          </w:p>
        </w:tc>
      </w:tr>
      <w:tr w:rsidR="00FB795B" w14:paraId="7822643D" w14:textId="77777777" w:rsidTr="00207DE6">
        <w:trPr>
          <w:trHeight w:val="310"/>
        </w:trPr>
        <w:tc>
          <w:tcPr>
            <w:tcW w:w="3096" w:type="dxa"/>
            <w:shd w:val="clear" w:color="auto" w:fill="auto"/>
            <w:tcMar>
              <w:left w:w="63" w:type="dxa"/>
            </w:tcMar>
          </w:tcPr>
          <w:p w14:paraId="7F360496" w14:textId="77777777" w:rsidR="00FB795B" w:rsidRDefault="002A6B5B" w:rsidP="00207DE6">
            <w:pPr>
              <w:jc w:val="both"/>
            </w:pPr>
            <w:r>
              <w:rPr>
                <w:rFonts w:eastAsia="Calibri" w:cstheme="minorHAnsi"/>
                <w:b/>
                <w:color w:val="00000A"/>
              </w:rPr>
              <w:t>Prérequis</w:t>
            </w:r>
          </w:p>
        </w:tc>
        <w:tc>
          <w:tcPr>
            <w:tcW w:w="7629" w:type="dxa"/>
            <w:shd w:val="clear" w:color="auto" w:fill="auto"/>
            <w:tcMar>
              <w:left w:w="63" w:type="dxa"/>
            </w:tcMar>
          </w:tcPr>
          <w:p w14:paraId="565AE57A" w14:textId="77777777" w:rsidR="00FB795B" w:rsidRDefault="00FB795B" w:rsidP="00207DE6">
            <w:pPr>
              <w:jc w:val="both"/>
              <w:rPr>
                <w:rFonts w:eastAsia="Calibri" w:cstheme="minorHAnsi"/>
                <w:b/>
                <w:color w:val="00000A"/>
              </w:rPr>
            </w:pPr>
          </w:p>
        </w:tc>
      </w:tr>
      <w:tr w:rsidR="00FB795B" w14:paraId="6699115F" w14:textId="77777777" w:rsidTr="00207DE6">
        <w:trPr>
          <w:trHeight w:val="329"/>
        </w:trPr>
        <w:tc>
          <w:tcPr>
            <w:tcW w:w="3096" w:type="dxa"/>
            <w:shd w:val="clear" w:color="auto" w:fill="auto"/>
            <w:tcMar>
              <w:left w:w="63" w:type="dxa"/>
            </w:tcMar>
          </w:tcPr>
          <w:p w14:paraId="5A6C8014" w14:textId="77777777" w:rsidR="00FB795B" w:rsidRDefault="00FB795B" w:rsidP="00207DE6">
            <w:pPr>
              <w:jc w:val="both"/>
            </w:pPr>
            <w:r>
              <w:rPr>
                <w:rFonts w:eastAsia="Calibri" w:cstheme="minorHAnsi"/>
                <w:b/>
                <w:color w:val="00000A"/>
              </w:rPr>
              <w:t>Conditions matérielles</w:t>
            </w:r>
          </w:p>
        </w:tc>
        <w:tc>
          <w:tcPr>
            <w:tcW w:w="7629" w:type="dxa"/>
            <w:shd w:val="clear" w:color="auto" w:fill="auto"/>
            <w:tcMar>
              <w:left w:w="63" w:type="dxa"/>
            </w:tcMar>
          </w:tcPr>
          <w:p w14:paraId="0F7A6C4A" w14:textId="77777777" w:rsidR="00FB795B" w:rsidRDefault="00207DE6" w:rsidP="00207DE6">
            <w:pPr>
              <w:jc w:val="both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  <w:color w:val="00000A"/>
              </w:rPr>
              <w:t>Dans l’idéal en salle de devoir</w:t>
            </w:r>
          </w:p>
        </w:tc>
      </w:tr>
      <w:tr w:rsidR="00FB795B" w14:paraId="56C84934" w14:textId="77777777" w:rsidTr="00207DE6">
        <w:trPr>
          <w:trHeight w:val="310"/>
        </w:trPr>
        <w:tc>
          <w:tcPr>
            <w:tcW w:w="3096" w:type="dxa"/>
            <w:shd w:val="clear" w:color="auto" w:fill="auto"/>
            <w:tcMar>
              <w:left w:w="63" w:type="dxa"/>
            </w:tcMar>
          </w:tcPr>
          <w:p w14:paraId="193C5616" w14:textId="77777777" w:rsidR="00FB795B" w:rsidRDefault="00FB795B" w:rsidP="00207DE6">
            <w:pPr>
              <w:jc w:val="both"/>
            </w:pPr>
            <w:r>
              <w:rPr>
                <w:rFonts w:eastAsia="Calibri" w:cstheme="minorHAnsi"/>
                <w:b/>
                <w:color w:val="00000A"/>
              </w:rPr>
              <w:t>Durée indicative</w:t>
            </w:r>
          </w:p>
        </w:tc>
        <w:tc>
          <w:tcPr>
            <w:tcW w:w="7629" w:type="dxa"/>
            <w:shd w:val="clear" w:color="auto" w:fill="auto"/>
            <w:tcMar>
              <w:left w:w="63" w:type="dxa"/>
            </w:tcMar>
          </w:tcPr>
          <w:p w14:paraId="3ABF4509" w14:textId="77777777" w:rsidR="00FB795B" w:rsidRDefault="00207DE6" w:rsidP="00207DE6">
            <w:pPr>
              <w:jc w:val="both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  <w:color w:val="00000A"/>
              </w:rPr>
              <w:t xml:space="preserve">1 heure </w:t>
            </w:r>
          </w:p>
        </w:tc>
      </w:tr>
      <w:tr w:rsidR="00FB795B" w14:paraId="50A5BDEF" w14:textId="77777777" w:rsidTr="00207DE6">
        <w:trPr>
          <w:trHeight w:val="329"/>
        </w:trPr>
        <w:tc>
          <w:tcPr>
            <w:tcW w:w="3096" w:type="dxa"/>
            <w:shd w:val="clear" w:color="auto" w:fill="auto"/>
            <w:tcMar>
              <w:left w:w="63" w:type="dxa"/>
            </w:tcMar>
          </w:tcPr>
          <w:p w14:paraId="5CAD2F0C" w14:textId="77777777" w:rsidR="00FB795B" w:rsidRDefault="00FB795B" w:rsidP="00207DE6">
            <w:pPr>
              <w:jc w:val="both"/>
            </w:pPr>
            <w:r>
              <w:rPr>
                <w:rFonts w:eastAsia="Calibri" w:cstheme="minorHAnsi"/>
                <w:b/>
                <w:color w:val="00000A"/>
              </w:rPr>
              <w:t>Concepteur(s)</w:t>
            </w:r>
          </w:p>
        </w:tc>
        <w:tc>
          <w:tcPr>
            <w:tcW w:w="7629" w:type="dxa"/>
            <w:shd w:val="clear" w:color="auto" w:fill="auto"/>
            <w:tcMar>
              <w:left w:w="63" w:type="dxa"/>
            </w:tcMar>
          </w:tcPr>
          <w:p w14:paraId="7AF2D36C" w14:textId="77777777" w:rsidR="00FB795B" w:rsidRDefault="00207DE6" w:rsidP="00207DE6">
            <w:pPr>
              <w:jc w:val="both"/>
            </w:pPr>
            <w:r>
              <w:rPr>
                <w:rFonts w:eastAsia="Calibri" w:cstheme="minorHAnsi"/>
                <w:i/>
                <w:color w:val="00000A"/>
              </w:rPr>
              <w:t>Auberi.duchamp@ac-besancon.fr</w:t>
            </w:r>
          </w:p>
        </w:tc>
      </w:tr>
    </w:tbl>
    <w:p w14:paraId="40C7797C" w14:textId="77777777" w:rsidR="002A6B5B" w:rsidRDefault="002A6B5B" w:rsidP="002A6B5B">
      <w:pPr>
        <w:pStyle w:val="Normal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Première partie : Mobilisation de connaissances et traitement de l’information (10 points) </w:t>
      </w:r>
    </w:p>
    <w:p w14:paraId="3F8C61F0" w14:textId="77777777" w:rsidR="002A6B5B" w:rsidRDefault="002A6B5B" w:rsidP="003B01F2">
      <w:pPr>
        <w:pStyle w:val="NormalWeb"/>
        <w:spacing w:after="0" w:afterAutospacing="0"/>
        <w:jc w:val="center"/>
      </w:pPr>
      <w:r>
        <w:rPr>
          <w:noProof/>
        </w:rPr>
        <w:drawing>
          <wp:inline distT="0" distB="0" distL="0" distR="0" wp14:anchorId="536B9E37" wp14:editId="47DC6CA6">
            <wp:extent cx="5041900" cy="3627189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269" cy="364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BDF0F" w14:textId="77777777" w:rsidR="0018690F" w:rsidRDefault="002A6B5B" w:rsidP="0018690F">
      <w:pPr>
        <w:pStyle w:val="NormalWeb"/>
        <w:ind w:left="3540" w:firstLine="708"/>
      </w:pPr>
      <w:r>
        <w:t>Source : sondage IPSOS pour le Secours populaire, octobre 2018</w:t>
      </w:r>
    </w:p>
    <w:p w14:paraId="644D61C3" w14:textId="5E2EBD95" w:rsidR="002A6B5B" w:rsidRPr="0018690F" w:rsidRDefault="002A6B5B" w:rsidP="0018690F">
      <w:pPr>
        <w:pStyle w:val="NormalWeb"/>
        <w:rPr>
          <w:rFonts w:ascii="Arial" w:hAnsi="Arial" w:cs="Arial"/>
          <w:sz w:val="22"/>
          <w:szCs w:val="22"/>
        </w:rPr>
      </w:pPr>
      <w:r w:rsidRPr="0018690F">
        <w:rPr>
          <w:rFonts w:ascii="Arial" w:hAnsi="Arial" w:cs="Arial"/>
          <w:b/>
          <w:bCs/>
          <w:sz w:val="22"/>
          <w:szCs w:val="22"/>
        </w:rPr>
        <w:t xml:space="preserve">Questions : </w:t>
      </w:r>
    </w:p>
    <w:p w14:paraId="07AC506F" w14:textId="77777777" w:rsidR="002A6B5B" w:rsidRPr="0018690F" w:rsidRDefault="002A6B5B" w:rsidP="002A6B5B">
      <w:pPr>
        <w:tabs>
          <w:tab w:val="left" w:pos="460"/>
        </w:tabs>
        <w:jc w:val="left"/>
        <w:rPr>
          <w:rFonts w:ascii="Arial" w:hAnsi="Arial" w:cs="Arial"/>
          <w:b/>
        </w:rPr>
      </w:pPr>
      <w:r w:rsidRPr="0018690F">
        <w:rPr>
          <w:rFonts w:ascii="Arial" w:hAnsi="Arial" w:cs="Arial"/>
          <w:b/>
        </w:rPr>
        <w:t>1. Présentez deux formes de solidarité selon Emile Durkheim. (3 points)</w:t>
      </w:r>
    </w:p>
    <w:p w14:paraId="3A84B566" w14:textId="77777777" w:rsidR="002A6B5B" w:rsidRPr="0018690F" w:rsidRDefault="002A6B5B" w:rsidP="002A6B5B">
      <w:pPr>
        <w:tabs>
          <w:tab w:val="left" w:pos="460"/>
        </w:tabs>
        <w:jc w:val="left"/>
        <w:rPr>
          <w:rFonts w:ascii="Arial" w:hAnsi="Arial" w:cs="Arial"/>
          <w:i/>
        </w:rPr>
      </w:pPr>
    </w:p>
    <w:p w14:paraId="102FDC1B" w14:textId="77777777" w:rsidR="002A6B5B" w:rsidRPr="0018690F" w:rsidRDefault="002A6B5B" w:rsidP="000055CB">
      <w:pPr>
        <w:tabs>
          <w:tab w:val="left" w:pos="460"/>
        </w:tabs>
        <w:jc w:val="both"/>
        <w:rPr>
          <w:rFonts w:ascii="Arial" w:hAnsi="Arial" w:cs="Arial"/>
          <w:b/>
        </w:rPr>
      </w:pPr>
      <w:r w:rsidRPr="0018690F">
        <w:rPr>
          <w:rFonts w:ascii="Arial" w:hAnsi="Arial" w:cs="Arial"/>
          <w:b/>
        </w:rPr>
        <w:t>2. À l’aide du document, comparez les différences significatives des réponses au sondage selon les pays. (3 points)</w:t>
      </w:r>
    </w:p>
    <w:p w14:paraId="1AEE880C" w14:textId="77777777" w:rsidR="002A6B5B" w:rsidRPr="0018690F" w:rsidRDefault="002A6B5B" w:rsidP="002A6B5B">
      <w:pPr>
        <w:tabs>
          <w:tab w:val="left" w:pos="460"/>
        </w:tabs>
        <w:jc w:val="left"/>
        <w:rPr>
          <w:rFonts w:ascii="Arial" w:hAnsi="Arial" w:cs="Arial"/>
          <w:i/>
        </w:rPr>
      </w:pPr>
    </w:p>
    <w:p w14:paraId="5BD62CDD" w14:textId="4166824B" w:rsidR="00207DE6" w:rsidRPr="00207DE6" w:rsidRDefault="002A6B5B" w:rsidP="003B01F2">
      <w:pPr>
        <w:tabs>
          <w:tab w:val="left" w:pos="460"/>
        </w:tabs>
        <w:jc w:val="both"/>
      </w:pPr>
      <w:r w:rsidRPr="0018690F">
        <w:rPr>
          <w:rFonts w:ascii="Arial" w:hAnsi="Arial" w:cs="Arial"/>
          <w:b/>
        </w:rPr>
        <w:lastRenderedPageBreak/>
        <w:t>3. A l’aide du document, montrez que, malgré les difficultés financières, des liens de solidarité persistent chez les jeunes. (4 points)</w:t>
      </w:r>
    </w:p>
    <w:p w14:paraId="4283F94B" w14:textId="77777777" w:rsidR="00207DE6" w:rsidRPr="00207DE6" w:rsidRDefault="00207DE6" w:rsidP="00207DE6"/>
    <w:p w14:paraId="5BFF985F" w14:textId="77777777" w:rsidR="00207DE6" w:rsidRPr="00207DE6" w:rsidRDefault="00207DE6" w:rsidP="00207DE6"/>
    <w:p w14:paraId="77856474" w14:textId="77777777" w:rsidR="00FB795B" w:rsidRPr="00207DE6" w:rsidRDefault="00FB795B" w:rsidP="00207DE6">
      <w:pPr>
        <w:tabs>
          <w:tab w:val="left" w:pos="560"/>
        </w:tabs>
        <w:jc w:val="left"/>
      </w:pPr>
    </w:p>
    <w:sectPr w:rsidR="00FB795B" w:rsidRPr="00207DE6">
      <w:pgSz w:w="11906" w:h="16838"/>
      <w:pgMar w:top="567" w:right="567" w:bottom="663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1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7B"/>
    <w:rsid w:val="000055CB"/>
    <w:rsid w:val="00010576"/>
    <w:rsid w:val="0018690F"/>
    <w:rsid w:val="00207DE6"/>
    <w:rsid w:val="002A6B5B"/>
    <w:rsid w:val="003B01F2"/>
    <w:rsid w:val="004D65BE"/>
    <w:rsid w:val="006818B6"/>
    <w:rsid w:val="00B9237B"/>
    <w:rsid w:val="00B97D3A"/>
    <w:rsid w:val="00F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E13EB"/>
  <w15:docId w15:val="{A6F21AA9-E986-4BA3-AE22-080DE910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60"/>
    <w:pPr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Droid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Grilledutableau">
    <w:name w:val="Table Grid"/>
    <w:basedOn w:val="TableauNormal"/>
    <w:uiPriority w:val="59"/>
    <w:rsid w:val="004C0060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7DE6"/>
    <w:pPr>
      <w:spacing w:before="100" w:beforeAutospacing="1" w:after="100" w:afterAutospacing="1"/>
      <w:jc w:val="left"/>
    </w:pPr>
    <w:rPr>
      <w:rFonts w:ascii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6B5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B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5D1633-EAB1-40C3-8332-D3D5A3C8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Michel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battu</dc:creator>
  <cp:lastModifiedBy>gaelle battu</cp:lastModifiedBy>
  <cp:revision>5</cp:revision>
  <dcterms:created xsi:type="dcterms:W3CDTF">2019-11-12T13:49:00Z</dcterms:created>
  <dcterms:modified xsi:type="dcterms:W3CDTF">2019-11-12T13:51:00Z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