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6E" w:rsidRDefault="00DB67D8">
      <w:pPr>
        <w:jc w:val="center"/>
        <w:rPr>
          <w:b/>
          <w:color w:val="FF0000"/>
        </w:rPr>
      </w:pPr>
      <w:r>
        <w:rPr>
          <w:b/>
          <w:color w:val="FF0000"/>
        </w:rPr>
        <w:t>TRAAM 2017-2018</w:t>
      </w:r>
    </w:p>
    <w:p w:rsidR="0051536E" w:rsidRDefault="00DB67D8">
      <w:r>
        <w:t xml:space="preserve"> </w:t>
      </w:r>
    </w:p>
    <w:p w:rsidR="0051536E" w:rsidRDefault="00DB67D8">
      <w:r>
        <w:rPr>
          <w:b/>
          <w:u w:val="single"/>
        </w:rPr>
        <w:t>Commande</w:t>
      </w:r>
      <w:r>
        <w:t xml:space="preserve"> : utiliser les données publiques</w:t>
      </w:r>
    </w:p>
    <w:p w:rsidR="0051536E" w:rsidRDefault="0051536E"/>
    <w:p w:rsidR="0051536E" w:rsidRDefault="00DB67D8">
      <w:pPr>
        <w:jc w:val="center"/>
        <w:rPr>
          <w:b/>
        </w:rPr>
      </w:pPr>
      <w:r>
        <w:rPr>
          <w:b/>
        </w:rPr>
        <w:t>Premier travail en Première</w:t>
      </w:r>
    </w:p>
    <w:p w:rsidR="0051536E" w:rsidRDefault="00DB67D8">
      <w:pPr>
        <w:jc w:val="center"/>
        <w:rPr>
          <w:b/>
          <w:color w:val="FF00FF"/>
        </w:rPr>
      </w:pPr>
      <w:r>
        <w:rPr>
          <w:b/>
          <w:color w:val="FF00FF"/>
        </w:rPr>
        <w:t>Travail de groupe – Les chiffres de la délinquance</w:t>
      </w:r>
    </w:p>
    <w:p w:rsidR="0051536E" w:rsidRDefault="0051536E"/>
    <w:p w:rsidR="0051536E" w:rsidRDefault="00DB67D8">
      <w:r>
        <w:rPr>
          <w:b/>
        </w:rPr>
        <w:t>Objectif :</w:t>
      </w:r>
      <w:r>
        <w:t xml:space="preserve"> Collecte et traitement d’informations concernant différents types de délits en vue d’en faire une synthèse (pourquoi pas préparer une présentation sur </w:t>
      </w:r>
      <w:proofErr w:type="spellStart"/>
      <w:r>
        <w:t>powerpoint</w:t>
      </w:r>
      <w:proofErr w:type="spellEnd"/>
      <w:r>
        <w:t xml:space="preserve"> </w:t>
      </w:r>
      <w:proofErr w:type="gramStart"/>
      <w:r>
        <w:t xml:space="preserve">ou  </w:t>
      </w:r>
      <w:proofErr w:type="spellStart"/>
      <w:r>
        <w:t>prezi</w:t>
      </w:r>
      <w:proofErr w:type="spellEnd"/>
      <w:proofErr w:type="gramEnd"/>
      <w:r>
        <w:t xml:space="preserve"> avec manipulation de données chiffrées) </w:t>
      </w:r>
    </w:p>
    <w:p w:rsidR="0051536E" w:rsidRDefault="0051536E"/>
    <w:p w:rsidR="0051536E" w:rsidRDefault="00DB67D8">
      <w:r>
        <w:t>Travail en binôme</w:t>
      </w:r>
    </w:p>
    <w:p w:rsidR="0051536E" w:rsidRDefault="00DB67D8">
      <w:r>
        <w:t>Salle informatique</w:t>
      </w:r>
    </w:p>
    <w:p w:rsidR="0051536E" w:rsidRDefault="00DB67D8">
      <w:r>
        <w:rPr>
          <w:b/>
        </w:rPr>
        <w:t>Duré</w:t>
      </w:r>
      <w:r>
        <w:rPr>
          <w:b/>
        </w:rPr>
        <w:t xml:space="preserve">e </w:t>
      </w:r>
      <w:r>
        <w:t>: 2 fois 1 heures de TD (pour la préparation des exposés) et 1 heure en classe entière</w:t>
      </w:r>
    </w:p>
    <w:p w:rsidR="0051536E" w:rsidRDefault="00DB67D8">
      <w:r>
        <w:rPr>
          <w:b/>
        </w:rPr>
        <w:t xml:space="preserve">Outils </w:t>
      </w:r>
      <w:r>
        <w:t xml:space="preserve">: Excel ou Présentation (open office), </w:t>
      </w:r>
      <w:proofErr w:type="spellStart"/>
      <w:r>
        <w:t>Canva</w:t>
      </w:r>
      <w:proofErr w:type="spellEnd"/>
      <w:r>
        <w:t xml:space="preserve"> ou </w:t>
      </w:r>
      <w:proofErr w:type="spellStart"/>
      <w:r>
        <w:t>powerpoint</w:t>
      </w:r>
      <w:proofErr w:type="spellEnd"/>
    </w:p>
    <w:p w:rsidR="0051536E" w:rsidRDefault="0051536E">
      <w:pPr>
        <w:rPr>
          <w:b/>
        </w:rPr>
      </w:pPr>
    </w:p>
    <w:p w:rsidR="0051536E" w:rsidRDefault="00DB67D8">
      <w:r>
        <w:rPr>
          <w:b/>
        </w:rPr>
        <w:t>Préalables à la séance</w:t>
      </w:r>
      <w:r>
        <w:t xml:space="preserve"> : </w:t>
      </w:r>
    </w:p>
    <w:p w:rsidR="0051536E" w:rsidRDefault="00DB67D8">
      <w:pPr>
        <w:numPr>
          <w:ilvl w:val="0"/>
          <w:numId w:val="4"/>
        </w:numPr>
        <w:contextualSpacing/>
      </w:pPr>
      <w:r>
        <w:t xml:space="preserve">Inscription des élèves sur </w:t>
      </w:r>
      <w:proofErr w:type="spellStart"/>
      <w:r>
        <w:t>Prezi</w:t>
      </w:r>
      <w:proofErr w:type="spellEnd"/>
      <w:r>
        <w:t xml:space="preserve"> ou sur </w:t>
      </w:r>
      <w:proofErr w:type="spellStart"/>
      <w:r>
        <w:t>Canva</w:t>
      </w:r>
      <w:proofErr w:type="spellEnd"/>
      <w:r>
        <w:t>.</w:t>
      </w:r>
    </w:p>
    <w:p w:rsidR="0051536E" w:rsidRDefault="00DB67D8">
      <w:pPr>
        <w:numPr>
          <w:ilvl w:val="0"/>
          <w:numId w:val="4"/>
        </w:numPr>
        <w:contextualSpacing/>
      </w:pPr>
      <w:r>
        <w:t xml:space="preserve">Récupérer les 16 documents </w:t>
      </w:r>
      <w:proofErr w:type="spellStart"/>
      <w:r>
        <w:t>excel</w:t>
      </w:r>
      <w:proofErr w:type="spellEnd"/>
      <w:r>
        <w:t xml:space="preserve"> rapportant les données chiffrées de différents faits délinquants sur le site du Ministère de l’Intérieur et les déposer sur l’espace commun de la classe. </w:t>
      </w:r>
    </w:p>
    <w:p w:rsidR="0051536E" w:rsidRDefault="00DB67D8">
      <w:r>
        <w:t xml:space="preserve">Les documents sont disponibles à l’adresse suivante : </w:t>
      </w:r>
      <w:hyperlink r:id="rId6">
        <w:r>
          <w:rPr>
            <w:color w:val="1155CC"/>
            <w:u w:val="single"/>
          </w:rPr>
          <w:t>https://www.interieur.gouv.fr/Interstats/L-enquete-Cadre-de-vie-et-securite-CVS/Rapport-d-enquete-cadre-de-vie-et-securite-2016</w:t>
        </w:r>
      </w:hyperlink>
    </w:p>
    <w:p w:rsidR="0051536E" w:rsidRDefault="0051536E"/>
    <w:p w:rsidR="0051536E" w:rsidRDefault="0051536E"/>
    <w:p w:rsidR="0051536E" w:rsidRDefault="00DB67D8">
      <w:pPr>
        <w:rPr>
          <w:b/>
          <w:color w:val="FF00FF"/>
          <w:u w:val="single"/>
        </w:rPr>
      </w:pPr>
      <w:proofErr w:type="spellStart"/>
      <w:r>
        <w:rPr>
          <w:b/>
          <w:color w:val="FF00FF"/>
          <w:u w:val="single"/>
        </w:rPr>
        <w:t>Etape</w:t>
      </w:r>
      <w:proofErr w:type="spellEnd"/>
      <w:r>
        <w:rPr>
          <w:b/>
          <w:color w:val="FF00FF"/>
          <w:u w:val="single"/>
        </w:rPr>
        <w:t xml:space="preserve"> 1 (TD1) : Coll</w:t>
      </w:r>
      <w:r>
        <w:rPr>
          <w:b/>
          <w:color w:val="FF00FF"/>
          <w:u w:val="single"/>
        </w:rPr>
        <w:t>ecte et traitement des données récentes sur la délinquance en 2016</w:t>
      </w:r>
    </w:p>
    <w:p w:rsidR="0051536E" w:rsidRDefault="0051536E"/>
    <w:p w:rsidR="0051536E" w:rsidRDefault="00DB67D8">
      <w:pPr>
        <w:rPr>
          <w:b/>
          <w:color w:val="6AA84F"/>
        </w:rPr>
      </w:pPr>
      <w:r>
        <w:rPr>
          <w:b/>
          <w:color w:val="6AA84F"/>
        </w:rPr>
        <w:t xml:space="preserve">1/ Rappelez les différentes catégories d’infraction et donnez 2 exemples pour chaque. </w:t>
      </w:r>
    </w:p>
    <w:p w:rsidR="0051536E" w:rsidRDefault="00DB67D8">
      <w:pPr>
        <w:numPr>
          <w:ilvl w:val="0"/>
          <w:numId w:val="2"/>
        </w:numPr>
        <w:contextualSpacing/>
      </w:pPr>
      <w:r>
        <w:t>Contravention :</w:t>
      </w:r>
    </w:p>
    <w:p w:rsidR="0051536E" w:rsidRDefault="00DB67D8">
      <w:pPr>
        <w:numPr>
          <w:ilvl w:val="0"/>
          <w:numId w:val="2"/>
        </w:numPr>
        <w:contextualSpacing/>
      </w:pPr>
      <w:r>
        <w:t>Délit :</w:t>
      </w:r>
    </w:p>
    <w:p w:rsidR="0051536E" w:rsidRDefault="00DB67D8">
      <w:pPr>
        <w:numPr>
          <w:ilvl w:val="0"/>
          <w:numId w:val="2"/>
        </w:numPr>
        <w:contextualSpacing/>
      </w:pPr>
      <w:r>
        <w:t>Crime :</w:t>
      </w:r>
    </w:p>
    <w:p w:rsidR="0051536E" w:rsidRDefault="0051536E"/>
    <w:p w:rsidR="0051536E" w:rsidRDefault="00DB67D8">
      <w:pPr>
        <w:rPr>
          <w:b/>
          <w:color w:val="6AA84F"/>
          <w:highlight w:val="white"/>
        </w:rPr>
      </w:pPr>
      <w:r>
        <w:rPr>
          <w:b/>
          <w:color w:val="6AA84F"/>
          <w:highlight w:val="white"/>
        </w:rPr>
        <w:t xml:space="preserve">2/ Rappelez ce qu’est une enquête de </w:t>
      </w:r>
      <w:proofErr w:type="spellStart"/>
      <w:r>
        <w:rPr>
          <w:b/>
          <w:color w:val="6AA84F"/>
          <w:highlight w:val="white"/>
        </w:rPr>
        <w:t>victimation</w:t>
      </w:r>
      <w:proofErr w:type="spellEnd"/>
      <w:r>
        <w:rPr>
          <w:b/>
          <w:color w:val="6AA84F"/>
          <w:highlight w:val="white"/>
        </w:rPr>
        <w:t xml:space="preserve">. </w:t>
      </w:r>
    </w:p>
    <w:p w:rsidR="0051536E" w:rsidRDefault="0051536E">
      <w:pPr>
        <w:rPr>
          <w:color w:val="FFFFFF"/>
          <w:highlight w:val="white"/>
        </w:rPr>
      </w:pPr>
    </w:p>
    <w:p w:rsidR="0051536E" w:rsidRDefault="0051536E">
      <w:pPr>
        <w:rPr>
          <w:color w:val="FFFFFF"/>
          <w:highlight w:val="white"/>
        </w:rPr>
      </w:pPr>
    </w:p>
    <w:p w:rsidR="0051536E" w:rsidRDefault="0051536E"/>
    <w:p w:rsidR="0051536E" w:rsidRDefault="00DB67D8">
      <w:r>
        <w:t xml:space="preserve">Vous allez travailler sur les résultats de la dernière enquête </w:t>
      </w:r>
      <w:r>
        <w:rPr>
          <w:b/>
        </w:rPr>
        <w:t xml:space="preserve">cadre de vie et sécurité </w:t>
      </w:r>
      <w:r>
        <w:t xml:space="preserve">menée en France en 2016. C’est une enquête nationale de </w:t>
      </w:r>
      <w:proofErr w:type="spellStart"/>
      <w:r>
        <w:rPr>
          <w:highlight w:val="white"/>
        </w:rPr>
        <w:t>victimation</w:t>
      </w:r>
      <w:proofErr w:type="spellEnd"/>
      <w:r>
        <w:t xml:space="preserve">, qui a pour objectif de compter et de décrire les infractions (vols, actes de vandalisme, violences </w:t>
      </w:r>
      <w:r>
        <w:t xml:space="preserve">physiques et sexuelles notamment) dont </w:t>
      </w:r>
      <w:proofErr w:type="gramStart"/>
      <w:r>
        <w:t>sont</w:t>
      </w:r>
      <w:proofErr w:type="gramEnd"/>
      <w:r>
        <w:t xml:space="preserve"> victimes les ménages et leurs habitants, et de recueillir leurs perceptions en matière d’insécurité.</w:t>
      </w:r>
    </w:p>
    <w:p w:rsidR="0051536E" w:rsidRDefault="0051536E"/>
    <w:p w:rsidR="0051536E" w:rsidRDefault="00DB67D8">
      <w:r>
        <w:rPr>
          <w:b/>
          <w:color w:val="6AA84F"/>
        </w:rPr>
        <w:t xml:space="preserve">3/ Cherchez rapidement sur Internet quels sont les organismes publics à l’origine de cette enquête. </w:t>
      </w:r>
    </w:p>
    <w:p w:rsidR="0051536E" w:rsidRDefault="00DB67D8">
      <w:r>
        <w:t>L’enquête</w:t>
      </w:r>
      <w:r>
        <w:t xml:space="preserve"> Cadre de vie et sécurité est conduite chaque année, depuis 2007 par :</w:t>
      </w:r>
    </w:p>
    <w:p w:rsidR="0051536E" w:rsidRDefault="00DB67D8">
      <w:r>
        <w:t xml:space="preserve">- l’Institut national de la statistique et des études économiques (Insee), </w:t>
      </w:r>
    </w:p>
    <w:p w:rsidR="0051536E" w:rsidRDefault="00DB67D8">
      <w:r>
        <w:t xml:space="preserve">- l’Observatoire national de la délinquance et de la réponse pénale (ONDRP). </w:t>
      </w:r>
    </w:p>
    <w:p w:rsidR="0051536E" w:rsidRDefault="00DB67D8">
      <w:r>
        <w:t>- le Service statistique minist</w:t>
      </w:r>
      <w:r>
        <w:t xml:space="preserve">ériel de la sécurité intérieure (SSMSI) </w:t>
      </w:r>
    </w:p>
    <w:p w:rsidR="0051536E" w:rsidRDefault="0051536E"/>
    <w:p w:rsidR="0051536E" w:rsidRDefault="0051536E"/>
    <w:p w:rsidR="0051536E" w:rsidRDefault="00DB67D8">
      <w:r>
        <w:rPr>
          <w:b/>
          <w:color w:val="6AA84F"/>
        </w:rPr>
        <w:t xml:space="preserve">4/ Rendez-vous à l’étape 3 pour choisir le type d’infraction sur laquelle vous souhaitez travailler parmi les 16 disponibles. Une fois le choix validé par votre enseignant, ouvrez le fichier </w:t>
      </w:r>
      <w:proofErr w:type="spellStart"/>
      <w:r>
        <w:rPr>
          <w:b/>
          <w:color w:val="6AA84F"/>
        </w:rPr>
        <w:t>excel</w:t>
      </w:r>
      <w:proofErr w:type="spellEnd"/>
      <w:r>
        <w:rPr>
          <w:b/>
          <w:color w:val="6AA84F"/>
        </w:rPr>
        <w:t xml:space="preserve"> correspondant. I</w:t>
      </w:r>
      <w:r>
        <w:rPr>
          <w:b/>
          <w:color w:val="6AA84F"/>
        </w:rPr>
        <w:t xml:space="preserve">l se trouve dans le dossier de la classe dans l’espace commun. </w:t>
      </w:r>
      <w:r>
        <w:rPr>
          <w:rFonts w:ascii="Arial Unicode MS" w:eastAsia="Arial Unicode MS" w:hAnsi="Arial Unicode MS" w:cs="Arial Unicode MS"/>
          <w:b/>
        </w:rPr>
        <w:t xml:space="preserve">→ </w:t>
      </w:r>
      <w:r>
        <w:t>Principe : “Premiers arrivés, premiers servis”</w:t>
      </w:r>
    </w:p>
    <w:p w:rsidR="0051536E" w:rsidRDefault="0051536E"/>
    <w:p w:rsidR="0051536E" w:rsidRDefault="00DB67D8">
      <w:r>
        <w:t xml:space="preserve">Travail à effectuer d’après les informations contenues dans le fichier </w:t>
      </w:r>
      <w:proofErr w:type="spellStart"/>
      <w:r>
        <w:t>excel</w:t>
      </w:r>
      <w:proofErr w:type="spellEnd"/>
      <w:r>
        <w:t xml:space="preserve">. </w:t>
      </w:r>
    </w:p>
    <w:p w:rsidR="0051536E" w:rsidRDefault="00DB67D8">
      <w:pPr>
        <w:rPr>
          <w:b/>
          <w:color w:val="6AA84F"/>
        </w:rPr>
      </w:pPr>
      <w:r>
        <w:rPr>
          <w:b/>
          <w:color w:val="6AA84F"/>
        </w:rPr>
        <w:t>5/ Dans l’onglet “Tableau Repère” :</w:t>
      </w:r>
    </w:p>
    <w:p w:rsidR="0051536E" w:rsidRDefault="00DB67D8">
      <w:pPr>
        <w:numPr>
          <w:ilvl w:val="0"/>
          <w:numId w:val="1"/>
        </w:numPr>
        <w:contextualSpacing/>
      </w:pPr>
      <w:r>
        <w:rPr>
          <w:b/>
        </w:rPr>
        <w:t>Rédigez</w:t>
      </w:r>
      <w:r>
        <w:t xml:space="preserve"> une phrase de lectur</w:t>
      </w:r>
      <w:r>
        <w:t xml:space="preserve">e pour l’année 2015 qui intègre le nombre et le pourcentage de ménages victimes de l’infraction. </w:t>
      </w:r>
    </w:p>
    <w:p w:rsidR="0051536E" w:rsidRDefault="00DB67D8">
      <w:pPr>
        <w:numPr>
          <w:ilvl w:val="0"/>
          <w:numId w:val="1"/>
        </w:numPr>
        <w:contextualSpacing/>
      </w:pPr>
      <w:r>
        <w:rPr>
          <w:b/>
        </w:rPr>
        <w:t>Calculez</w:t>
      </w:r>
      <w:r>
        <w:t xml:space="preserve"> l’évolution de l’infraction en question sur l’ensemble de la période observable. Utilisez l’outil de votre choix (TV ou CM).</w:t>
      </w:r>
    </w:p>
    <w:p w:rsidR="0051536E" w:rsidRDefault="0051536E"/>
    <w:p w:rsidR="0051536E" w:rsidRDefault="00DB67D8">
      <w:pPr>
        <w:rPr>
          <w:b/>
          <w:color w:val="6AA84F"/>
        </w:rPr>
      </w:pPr>
      <w:r>
        <w:rPr>
          <w:b/>
          <w:color w:val="6AA84F"/>
        </w:rPr>
        <w:t>6/ Parcourir les onglet</w:t>
      </w:r>
      <w:r>
        <w:rPr>
          <w:b/>
          <w:color w:val="6AA84F"/>
        </w:rPr>
        <w:t xml:space="preserve">s suivants et assurez-vous de la bonne compréhension des informations qu’ils contiennent. N’hésitez pas à demander le concours de votre professeur. </w:t>
      </w:r>
    </w:p>
    <w:p w:rsidR="0051536E" w:rsidRDefault="00DB67D8">
      <w:pPr>
        <w:numPr>
          <w:ilvl w:val="0"/>
          <w:numId w:val="1"/>
        </w:numPr>
        <w:contextualSpacing/>
      </w:pPr>
      <w:r>
        <w:rPr>
          <w:b/>
        </w:rPr>
        <w:t>Sélectionnez</w:t>
      </w:r>
      <w:r>
        <w:t xml:space="preserve"> 3 graphiques </w:t>
      </w:r>
      <w:r>
        <w:rPr>
          <w:u w:val="single"/>
        </w:rPr>
        <w:t>de nature différente</w:t>
      </w:r>
      <w:r>
        <w:t xml:space="preserve"> qui caractérisent l’infraction étudiée.</w:t>
      </w:r>
    </w:p>
    <w:p w:rsidR="0051536E" w:rsidRDefault="00DB67D8">
      <w:pPr>
        <w:numPr>
          <w:ilvl w:val="0"/>
          <w:numId w:val="1"/>
        </w:numPr>
        <w:contextualSpacing/>
      </w:pPr>
      <w:r>
        <w:t>Pour chacun des docu</w:t>
      </w:r>
      <w:r>
        <w:t xml:space="preserve">ments, </w:t>
      </w:r>
      <w:r>
        <w:rPr>
          <w:b/>
        </w:rPr>
        <w:t>rédigez</w:t>
      </w:r>
      <w:r>
        <w:t xml:space="preserve"> un paragraphe de présentation. Rédigez également un ou deux paragraphes argumentés présentant l’information ou les informations essentielles à retenir. (Suivre la méthodologie de l’EC2)</w:t>
      </w:r>
    </w:p>
    <w:p w:rsidR="0051536E" w:rsidRDefault="0051536E"/>
    <w:p w:rsidR="0051536E" w:rsidRDefault="0051536E"/>
    <w:p w:rsidR="0051536E" w:rsidRDefault="00DB67D8">
      <w:pPr>
        <w:rPr>
          <w:color w:val="FF00FF"/>
        </w:rPr>
      </w:pPr>
      <w:proofErr w:type="spellStart"/>
      <w:r>
        <w:rPr>
          <w:b/>
          <w:color w:val="FF00FF"/>
          <w:u w:val="single"/>
        </w:rPr>
        <w:t>Etape</w:t>
      </w:r>
      <w:proofErr w:type="spellEnd"/>
      <w:r>
        <w:rPr>
          <w:b/>
          <w:color w:val="FF00FF"/>
          <w:u w:val="single"/>
        </w:rPr>
        <w:t xml:space="preserve"> 2 (TD2) : Construire un diaporama (interactif) </w:t>
      </w:r>
      <w:r>
        <w:rPr>
          <w:b/>
          <w:color w:val="FF00FF"/>
          <w:u w:val="single"/>
        </w:rPr>
        <w:t>en vue de l’exposé de 5 minutes</w:t>
      </w:r>
    </w:p>
    <w:p w:rsidR="0051536E" w:rsidRDefault="0051536E"/>
    <w:p w:rsidR="0051536E" w:rsidRDefault="00DB67D8">
      <w:pPr>
        <w:rPr>
          <w:b/>
          <w:color w:val="6AA84F"/>
        </w:rPr>
      </w:pPr>
      <w:r>
        <w:rPr>
          <w:b/>
          <w:color w:val="6AA84F"/>
        </w:rPr>
        <w:t xml:space="preserve">1/ </w:t>
      </w:r>
      <w:r w:rsidR="008635B0">
        <w:rPr>
          <w:b/>
          <w:color w:val="6AA84F"/>
        </w:rPr>
        <w:t>Élaborez</w:t>
      </w:r>
      <w:r>
        <w:rPr>
          <w:b/>
          <w:color w:val="6AA84F"/>
        </w:rPr>
        <w:t xml:space="preserve"> le support de votre exposé oral</w:t>
      </w:r>
    </w:p>
    <w:p w:rsidR="0051536E" w:rsidRDefault="00DB67D8">
      <w:r>
        <w:t xml:space="preserve">RDV sur : </w:t>
      </w:r>
      <w:hyperlink r:id="rId7">
        <w:r>
          <w:rPr>
            <w:color w:val="1155CC"/>
            <w:u w:val="single"/>
          </w:rPr>
          <w:t>https://www.canva.com/fr_fr/</w:t>
        </w:r>
      </w:hyperlink>
      <w:r>
        <w:t xml:space="preserve"> ou sur </w:t>
      </w:r>
      <w:hyperlink r:id="rId8">
        <w:r>
          <w:rPr>
            <w:color w:val="1155CC"/>
            <w:u w:val="single"/>
          </w:rPr>
          <w:t>www.prezi.com</w:t>
        </w:r>
      </w:hyperlink>
    </w:p>
    <w:p w:rsidR="0051536E" w:rsidRDefault="0051536E"/>
    <w:p w:rsidR="0051536E" w:rsidRDefault="00DB67D8">
      <w:r>
        <w:t xml:space="preserve">Vous devez construire un diaporama qui servira de support à votre présentation orale. </w:t>
      </w:r>
    </w:p>
    <w:p w:rsidR="0051536E" w:rsidRDefault="00DB67D8">
      <w:proofErr w:type="gramStart"/>
      <w:r>
        <w:t>Con</w:t>
      </w:r>
      <w:bookmarkStart w:id="0" w:name="_GoBack"/>
      <w:bookmarkEnd w:id="0"/>
      <w:r>
        <w:t>signes</w:t>
      </w:r>
      <w:proofErr w:type="gramEnd"/>
      <w:r>
        <w:t xml:space="preserve"> : </w:t>
      </w:r>
    </w:p>
    <w:p w:rsidR="0051536E" w:rsidRDefault="00DB67D8">
      <w:r>
        <w:t>1. En introduction, trouvez un fait divers ou une actualité illustrant l’infraction que vous présentez (une vidéo, une photo, un article de presse, un podcast…)</w:t>
      </w:r>
    </w:p>
    <w:p w:rsidR="0051536E" w:rsidRDefault="00DB67D8">
      <w:r>
        <w:t>2. Faites ensuite figurer les graphiques que vous avez choisis et analysés. Associez-y quelques</w:t>
      </w:r>
      <w:r>
        <w:t xml:space="preserve"> commentaires succincts en suivant les conseils ci-dessous :</w:t>
      </w:r>
    </w:p>
    <w:p w:rsidR="0051536E" w:rsidRDefault="00DB67D8">
      <w:pPr>
        <w:numPr>
          <w:ilvl w:val="0"/>
          <w:numId w:val="5"/>
        </w:numPr>
        <w:contextualSpacing/>
      </w:pPr>
      <w:r>
        <w:t>Soyez attentif au format des graphiques que vous intégrez dans le diaporama : ils doivent être visibles de loin !</w:t>
      </w:r>
    </w:p>
    <w:p w:rsidR="0051536E" w:rsidRDefault="00DB67D8">
      <w:pPr>
        <w:numPr>
          <w:ilvl w:val="0"/>
          <w:numId w:val="3"/>
        </w:numPr>
        <w:contextualSpacing/>
      </w:pPr>
      <w:r>
        <w:t>Soyez synthétique sur vos slides : n’écrivez pas l’intégralité de votre exposé !</w:t>
      </w:r>
    </w:p>
    <w:p w:rsidR="0051536E" w:rsidRDefault="00DB67D8">
      <w:pPr>
        <w:numPr>
          <w:ilvl w:val="0"/>
          <w:numId w:val="3"/>
        </w:numPr>
        <w:contextualSpacing/>
      </w:pPr>
      <w:r>
        <w:t>Faites apparaître des mots clefs, des ordres de grandeur, des évolutions.</w:t>
      </w:r>
    </w:p>
    <w:p w:rsidR="0051536E" w:rsidRDefault="0051536E"/>
    <w:p w:rsidR="0051536E" w:rsidRDefault="00DB67D8">
      <w:r>
        <w:t>Vous avez terminé !</w:t>
      </w:r>
    </w:p>
    <w:p w:rsidR="0051536E" w:rsidRDefault="0051536E"/>
    <w:p w:rsidR="0051536E" w:rsidRDefault="00DB67D8">
      <w:r>
        <w:rPr>
          <w:b/>
          <w:color w:val="6AA84F"/>
        </w:rPr>
        <w:t>2/ En prévision de votre exposé, téléchargez votre diaporama et déposez-le sur l’espace commun à la classe.</w:t>
      </w:r>
      <w:r>
        <w:t xml:space="preserve"> </w:t>
      </w:r>
    </w:p>
    <w:p w:rsidR="0051536E" w:rsidRDefault="0051536E">
      <w:pPr>
        <w:rPr>
          <w:b/>
          <w:color w:val="FF00FF"/>
        </w:rPr>
      </w:pPr>
    </w:p>
    <w:p w:rsidR="0051536E" w:rsidRDefault="00DB67D8">
      <w:pPr>
        <w:rPr>
          <w:b/>
          <w:color w:val="FF00FF"/>
          <w:u w:val="single"/>
        </w:rPr>
      </w:pPr>
      <w:proofErr w:type="spellStart"/>
      <w:r>
        <w:rPr>
          <w:b/>
          <w:color w:val="FF00FF"/>
          <w:u w:val="single"/>
        </w:rPr>
        <w:t>Etape</w:t>
      </w:r>
      <w:proofErr w:type="spellEnd"/>
      <w:r>
        <w:rPr>
          <w:b/>
          <w:color w:val="FF00FF"/>
          <w:u w:val="single"/>
        </w:rPr>
        <w:t xml:space="preserve"> 3 (en classe entière) : Exposés des 16 group</w:t>
      </w:r>
      <w:r>
        <w:rPr>
          <w:b/>
          <w:color w:val="FF00FF"/>
          <w:u w:val="single"/>
        </w:rPr>
        <w:t>es</w:t>
      </w:r>
    </w:p>
    <w:p w:rsidR="0051536E" w:rsidRDefault="0051536E"/>
    <w:tbl>
      <w:tblPr>
        <w:tblStyle w:val="a"/>
        <w:tblW w:w="96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6270"/>
      </w:tblGrid>
      <w:tr w:rsidR="0051536E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6E" w:rsidRDefault="00DB67D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Catégories </w:t>
            </w:r>
            <w:proofErr w:type="gramStart"/>
            <w:r>
              <w:rPr>
                <w:b/>
              </w:rPr>
              <w:t>d’ infraction</w:t>
            </w:r>
            <w:proofErr w:type="gramEnd"/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6E" w:rsidRDefault="00DB67D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Essentiel à retenir</w:t>
            </w:r>
          </w:p>
        </w:tc>
      </w:tr>
      <w:tr w:rsidR="0051536E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6E" w:rsidRDefault="00DB67D8">
            <w:pPr>
              <w:widowControl w:val="0"/>
              <w:spacing w:line="240" w:lineRule="auto"/>
            </w:pPr>
            <w:r>
              <w:t>Cambriolages et tentatives de cambriolages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6E" w:rsidRDefault="0051536E">
            <w:pPr>
              <w:widowControl w:val="0"/>
              <w:spacing w:line="240" w:lineRule="auto"/>
            </w:pPr>
          </w:p>
        </w:tc>
      </w:tr>
      <w:tr w:rsidR="0051536E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6E" w:rsidRDefault="00DB67D8">
            <w:pPr>
              <w:widowControl w:val="0"/>
              <w:spacing w:line="240" w:lineRule="auto"/>
            </w:pPr>
            <w:r>
              <w:t>Vols sans effraction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6E" w:rsidRDefault="0051536E">
            <w:pPr>
              <w:widowControl w:val="0"/>
              <w:spacing w:line="240" w:lineRule="auto"/>
            </w:pPr>
          </w:p>
          <w:p w:rsidR="0051536E" w:rsidRDefault="0051536E">
            <w:pPr>
              <w:widowControl w:val="0"/>
              <w:spacing w:line="240" w:lineRule="auto"/>
            </w:pPr>
          </w:p>
        </w:tc>
      </w:tr>
      <w:tr w:rsidR="0051536E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6E" w:rsidRDefault="00DB67D8">
            <w:pPr>
              <w:widowControl w:val="0"/>
              <w:spacing w:line="240" w:lineRule="auto"/>
            </w:pPr>
            <w:r>
              <w:t>Vandalisme contre des logements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6E" w:rsidRDefault="0051536E">
            <w:pPr>
              <w:widowControl w:val="0"/>
              <w:spacing w:line="240" w:lineRule="auto"/>
            </w:pPr>
          </w:p>
        </w:tc>
      </w:tr>
      <w:tr w:rsidR="0051536E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6E" w:rsidRDefault="00DB67D8">
            <w:pPr>
              <w:widowControl w:val="0"/>
              <w:spacing w:line="240" w:lineRule="auto"/>
            </w:pPr>
            <w:r>
              <w:t>Vols et tentatives de vol de voiture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6E" w:rsidRDefault="0051536E">
            <w:pPr>
              <w:widowControl w:val="0"/>
              <w:spacing w:line="240" w:lineRule="auto"/>
            </w:pPr>
          </w:p>
        </w:tc>
      </w:tr>
      <w:tr w:rsidR="0051536E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6E" w:rsidRDefault="00DB67D8">
            <w:pPr>
              <w:widowControl w:val="0"/>
              <w:spacing w:line="240" w:lineRule="auto"/>
            </w:pPr>
            <w:r>
              <w:t>Vols et tentatives de vol de deux roues motorisées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6E" w:rsidRDefault="0051536E">
            <w:pPr>
              <w:widowControl w:val="0"/>
              <w:spacing w:line="240" w:lineRule="auto"/>
            </w:pPr>
          </w:p>
        </w:tc>
      </w:tr>
      <w:tr w:rsidR="0051536E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6E" w:rsidRDefault="00DB67D8">
            <w:pPr>
              <w:widowControl w:val="0"/>
              <w:spacing w:line="240" w:lineRule="auto"/>
            </w:pPr>
            <w:r>
              <w:t>Vols et tentatives de vol de vélo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6E" w:rsidRDefault="0051536E">
            <w:pPr>
              <w:widowControl w:val="0"/>
              <w:spacing w:line="240" w:lineRule="auto"/>
            </w:pPr>
          </w:p>
          <w:p w:rsidR="0051536E" w:rsidRDefault="0051536E">
            <w:pPr>
              <w:widowControl w:val="0"/>
              <w:spacing w:line="240" w:lineRule="auto"/>
            </w:pPr>
          </w:p>
        </w:tc>
      </w:tr>
      <w:tr w:rsidR="0051536E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6E" w:rsidRDefault="00DB67D8">
            <w:pPr>
              <w:widowControl w:val="0"/>
              <w:spacing w:line="240" w:lineRule="auto"/>
            </w:pPr>
            <w:r>
              <w:t>Vols et tentatives de vol d’objets dans et sur la voiture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6E" w:rsidRDefault="0051536E">
            <w:pPr>
              <w:widowControl w:val="0"/>
              <w:spacing w:line="240" w:lineRule="auto"/>
            </w:pPr>
          </w:p>
        </w:tc>
      </w:tr>
      <w:tr w:rsidR="0051536E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6E" w:rsidRDefault="00DB67D8">
            <w:pPr>
              <w:widowControl w:val="0"/>
              <w:spacing w:line="240" w:lineRule="auto"/>
            </w:pPr>
            <w:r>
              <w:t>Actes de vandalisme contre la voiture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6E" w:rsidRDefault="0051536E">
            <w:pPr>
              <w:widowControl w:val="0"/>
              <w:spacing w:line="240" w:lineRule="auto"/>
            </w:pPr>
          </w:p>
        </w:tc>
      </w:tr>
      <w:tr w:rsidR="0051536E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6E" w:rsidRDefault="00DB67D8">
            <w:pPr>
              <w:widowControl w:val="0"/>
              <w:spacing w:line="240" w:lineRule="auto"/>
            </w:pPr>
            <w:r>
              <w:t>Escroqueries bancaires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6E" w:rsidRDefault="0051536E">
            <w:pPr>
              <w:widowControl w:val="0"/>
              <w:spacing w:line="240" w:lineRule="auto"/>
            </w:pPr>
          </w:p>
          <w:p w:rsidR="0051536E" w:rsidRDefault="0051536E">
            <w:pPr>
              <w:widowControl w:val="0"/>
              <w:spacing w:line="240" w:lineRule="auto"/>
            </w:pPr>
          </w:p>
        </w:tc>
      </w:tr>
      <w:tr w:rsidR="0051536E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6E" w:rsidRDefault="00DB67D8">
            <w:pPr>
              <w:widowControl w:val="0"/>
              <w:spacing w:line="240" w:lineRule="auto"/>
            </w:pPr>
            <w:r>
              <w:t>Vols et tentatives de vol avec violences physiques ou menaces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6E" w:rsidRDefault="0051536E">
            <w:pPr>
              <w:widowControl w:val="0"/>
              <w:spacing w:line="240" w:lineRule="auto"/>
            </w:pPr>
          </w:p>
        </w:tc>
      </w:tr>
      <w:tr w:rsidR="0051536E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6E" w:rsidRDefault="00DB67D8">
            <w:pPr>
              <w:widowControl w:val="0"/>
              <w:spacing w:line="240" w:lineRule="auto"/>
            </w:pPr>
            <w:r>
              <w:t>Vols et tentatives de vol sans violence ni menace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6E" w:rsidRDefault="0051536E">
            <w:pPr>
              <w:widowControl w:val="0"/>
              <w:spacing w:line="240" w:lineRule="auto"/>
            </w:pPr>
          </w:p>
        </w:tc>
      </w:tr>
      <w:tr w:rsidR="0051536E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6E" w:rsidRDefault="00DB67D8">
            <w:pPr>
              <w:widowControl w:val="0"/>
              <w:spacing w:line="240" w:lineRule="auto"/>
            </w:pPr>
            <w:r>
              <w:t>Violences physiques en dehors du ménage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6E" w:rsidRDefault="0051536E">
            <w:pPr>
              <w:widowControl w:val="0"/>
              <w:spacing w:line="240" w:lineRule="auto"/>
            </w:pPr>
          </w:p>
        </w:tc>
      </w:tr>
      <w:tr w:rsidR="0051536E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6E" w:rsidRDefault="00DB67D8">
            <w:pPr>
              <w:widowControl w:val="0"/>
              <w:spacing w:line="240" w:lineRule="auto"/>
            </w:pPr>
            <w:r>
              <w:t>Menaces en dehors du ménage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6E" w:rsidRDefault="0051536E">
            <w:pPr>
              <w:widowControl w:val="0"/>
              <w:spacing w:line="240" w:lineRule="auto"/>
            </w:pPr>
          </w:p>
          <w:p w:rsidR="0051536E" w:rsidRDefault="0051536E">
            <w:pPr>
              <w:widowControl w:val="0"/>
              <w:spacing w:line="240" w:lineRule="auto"/>
            </w:pPr>
          </w:p>
        </w:tc>
      </w:tr>
      <w:tr w:rsidR="0051536E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6E" w:rsidRDefault="00DB67D8">
            <w:pPr>
              <w:widowControl w:val="0"/>
              <w:spacing w:line="240" w:lineRule="auto"/>
            </w:pPr>
            <w:r>
              <w:t>Injures en dehors du ménage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6E" w:rsidRDefault="0051536E">
            <w:pPr>
              <w:widowControl w:val="0"/>
              <w:spacing w:line="240" w:lineRule="auto"/>
            </w:pPr>
          </w:p>
          <w:p w:rsidR="0051536E" w:rsidRDefault="0051536E">
            <w:pPr>
              <w:widowControl w:val="0"/>
              <w:spacing w:line="240" w:lineRule="auto"/>
            </w:pPr>
          </w:p>
        </w:tc>
      </w:tr>
      <w:tr w:rsidR="0051536E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6E" w:rsidRDefault="00DB67D8">
            <w:pPr>
              <w:widowControl w:val="0"/>
              <w:spacing w:line="240" w:lineRule="auto"/>
            </w:pPr>
            <w:r>
              <w:t>Violences sexuelles en dehors du ménage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6E" w:rsidRDefault="0051536E">
            <w:pPr>
              <w:widowControl w:val="0"/>
              <w:spacing w:line="240" w:lineRule="auto"/>
            </w:pPr>
          </w:p>
        </w:tc>
      </w:tr>
      <w:tr w:rsidR="0051536E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6E" w:rsidRDefault="00DB67D8">
            <w:pPr>
              <w:widowControl w:val="0"/>
              <w:spacing w:line="240" w:lineRule="auto"/>
            </w:pPr>
            <w:r>
              <w:t>Violences physiques et/ou sexuelles au sein du ménage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6E" w:rsidRDefault="0051536E">
            <w:pPr>
              <w:widowControl w:val="0"/>
              <w:spacing w:line="240" w:lineRule="auto"/>
            </w:pPr>
          </w:p>
        </w:tc>
      </w:tr>
    </w:tbl>
    <w:p w:rsidR="0051536E" w:rsidRDefault="0051536E"/>
    <w:sectPr w:rsidR="0051536E">
      <w:pgSz w:w="11909" w:h="16834"/>
      <w:pgMar w:top="1440" w:right="990" w:bottom="1440" w:left="11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3231"/>
    <w:multiLevelType w:val="multilevel"/>
    <w:tmpl w:val="6B46E0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553D5147"/>
    <w:multiLevelType w:val="multilevel"/>
    <w:tmpl w:val="B0543A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5B7A3301"/>
    <w:multiLevelType w:val="multilevel"/>
    <w:tmpl w:val="B574B6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607B185F"/>
    <w:multiLevelType w:val="multilevel"/>
    <w:tmpl w:val="5D367B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6C8A2815"/>
    <w:multiLevelType w:val="multilevel"/>
    <w:tmpl w:val="C22CC2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</w:compat>
  <w:rsids>
    <w:rsidRoot w:val="0051536E"/>
    <w:rsid w:val="0051536E"/>
    <w:rsid w:val="008635B0"/>
    <w:rsid w:val="00DB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zi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anva.com/fr_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erieur.gouv.fr/Interstats/L-enquete-Cadre-de-vie-et-securite-CVS/Rapport-d-enquete-cadre-de-vie-et-securite-201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Cordial</cp:lastModifiedBy>
  <cp:revision>3</cp:revision>
  <dcterms:created xsi:type="dcterms:W3CDTF">2018-03-07T15:37:00Z</dcterms:created>
  <dcterms:modified xsi:type="dcterms:W3CDTF">2018-03-07T15:37:00Z</dcterms:modified>
</cp:coreProperties>
</file>