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E3" w:rsidRPr="000B08E3" w:rsidRDefault="000B08E3" w:rsidP="000B08E3">
      <w:pPr>
        <w:shd w:val="clear" w:color="auto" w:fill="D9D9D9"/>
        <w:spacing w:after="0" w:line="240" w:lineRule="auto"/>
        <w:jc w:val="center"/>
        <w:rPr>
          <w:rFonts w:ascii="Times New Roman" w:eastAsia="Times New Roman" w:hAnsi="Times New Roman" w:cs="Times New Roman"/>
          <w:color w:val="000000"/>
          <w:sz w:val="20"/>
          <w:szCs w:val="20"/>
          <w:lang w:eastAsia="fr-FR"/>
        </w:rPr>
      </w:pPr>
      <w:r w:rsidRPr="000B08E3">
        <w:rPr>
          <w:rFonts w:ascii="Tahoma" w:eastAsia="Times New Roman" w:hAnsi="Tahoma" w:cs="Tahoma"/>
          <w:b/>
          <w:bCs/>
          <w:color w:val="000000"/>
          <w:sz w:val="24"/>
          <w:szCs w:val="24"/>
          <w:lang w:eastAsia="fr-FR"/>
        </w:rPr>
        <w:t>Séance de TD: Vers la notion de développement durable</w:t>
      </w:r>
    </w:p>
    <w:tbl>
      <w:tblPr>
        <w:tblpPr w:leftFromText="141" w:rightFromText="141" w:vertAnchor="text"/>
        <w:tblW w:w="0" w:type="auto"/>
        <w:tblCellMar>
          <w:left w:w="0" w:type="dxa"/>
          <w:right w:w="0" w:type="dxa"/>
        </w:tblCellMar>
        <w:tblLook w:val="04A0" w:firstRow="1" w:lastRow="0" w:firstColumn="1" w:lastColumn="0" w:noHBand="0" w:noVBand="1"/>
      </w:tblPr>
      <w:tblGrid>
        <w:gridCol w:w="9288"/>
      </w:tblGrid>
      <w:tr w:rsidR="000B08E3" w:rsidRPr="000B08E3" w:rsidTr="000B08E3">
        <w:trPr>
          <w:trHeight w:val="1294"/>
        </w:trPr>
        <w:tc>
          <w:tcPr>
            <w:tcW w:w="104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08E3" w:rsidRPr="000B08E3" w:rsidRDefault="000B08E3" w:rsidP="000B08E3">
            <w:pPr>
              <w:spacing w:after="0" w:line="240" w:lineRule="auto"/>
              <w:jc w:val="both"/>
              <w:rPr>
                <w:rFonts w:ascii="Times New Roman" w:eastAsia="Times New Roman" w:hAnsi="Times New Roman" w:cs="Times New Roman"/>
                <w:sz w:val="20"/>
                <w:szCs w:val="20"/>
                <w:lang w:eastAsia="fr-FR"/>
              </w:rPr>
            </w:pPr>
            <w:r w:rsidRPr="000B08E3">
              <w:rPr>
                <w:rFonts w:ascii="Comic Sans MS" w:eastAsia="Times New Roman" w:hAnsi="Comic Sans MS" w:cs="Times New Roman"/>
                <w:b/>
                <w:bCs/>
                <w:sz w:val="24"/>
                <w:szCs w:val="24"/>
                <w:u w:val="single"/>
                <w:lang w:eastAsia="fr-FR"/>
              </w:rPr>
              <w:t>Niveau concerné</w:t>
            </w:r>
          </w:p>
          <w:p w:rsidR="000B08E3" w:rsidRPr="000B08E3" w:rsidRDefault="000B08E3" w:rsidP="000B08E3">
            <w:pPr>
              <w:spacing w:after="0" w:line="240" w:lineRule="auto"/>
              <w:jc w:val="both"/>
              <w:rPr>
                <w:rFonts w:ascii="Times New Roman" w:eastAsia="Times New Roman" w:hAnsi="Times New Roman" w:cs="Times New Roman"/>
                <w:sz w:val="20"/>
                <w:szCs w:val="20"/>
                <w:lang w:eastAsia="fr-FR"/>
              </w:rPr>
            </w:pPr>
            <w:r w:rsidRPr="000B08E3">
              <w:rPr>
                <w:rFonts w:ascii="Comic Sans MS" w:eastAsia="Times New Roman" w:hAnsi="Comic Sans MS" w:cs="Times New Roman"/>
                <w:lang w:eastAsia="fr-FR"/>
              </w:rPr>
              <w:t>Première</w:t>
            </w:r>
          </w:p>
        </w:tc>
      </w:tr>
      <w:tr w:rsidR="000B08E3" w:rsidRPr="000B08E3" w:rsidTr="000B08E3">
        <w:trPr>
          <w:trHeight w:val="1294"/>
        </w:trPr>
        <w:tc>
          <w:tcPr>
            <w:tcW w:w="104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08E3" w:rsidRPr="000B08E3" w:rsidRDefault="000B08E3" w:rsidP="000B08E3">
            <w:pPr>
              <w:spacing w:after="0" w:line="240" w:lineRule="auto"/>
              <w:jc w:val="both"/>
              <w:rPr>
                <w:rFonts w:ascii="Times New Roman" w:eastAsia="Times New Roman" w:hAnsi="Times New Roman" w:cs="Times New Roman"/>
                <w:sz w:val="20"/>
                <w:szCs w:val="20"/>
                <w:lang w:eastAsia="fr-FR"/>
              </w:rPr>
            </w:pPr>
            <w:r w:rsidRPr="000B08E3">
              <w:rPr>
                <w:rFonts w:ascii="Comic Sans MS" w:eastAsia="Times New Roman" w:hAnsi="Comic Sans MS" w:cs="Times New Roman"/>
                <w:b/>
                <w:bCs/>
                <w:u w:val="single"/>
                <w:lang w:eastAsia="fr-FR"/>
              </w:rPr>
              <w:t>Thème du programme</w:t>
            </w:r>
          </w:p>
          <w:p w:rsidR="000B08E3" w:rsidRPr="000B08E3" w:rsidRDefault="000B08E3" w:rsidP="000B08E3">
            <w:pPr>
              <w:spacing w:after="0" w:line="240" w:lineRule="auto"/>
              <w:jc w:val="both"/>
              <w:rPr>
                <w:rFonts w:ascii="Times New Roman" w:eastAsia="Times New Roman" w:hAnsi="Times New Roman" w:cs="Times New Roman"/>
                <w:sz w:val="20"/>
                <w:szCs w:val="20"/>
                <w:lang w:eastAsia="fr-FR"/>
              </w:rPr>
            </w:pPr>
            <w:r w:rsidRPr="000B08E3">
              <w:rPr>
                <w:rFonts w:ascii="Comic Sans MS" w:eastAsia="Times New Roman" w:hAnsi="Comic Sans MS" w:cs="Times New Roman"/>
                <w:lang w:eastAsia="fr-FR"/>
              </w:rPr>
              <w:t>- Les limites du marché</w:t>
            </w:r>
          </w:p>
          <w:p w:rsidR="000B08E3" w:rsidRPr="000B08E3" w:rsidRDefault="000B08E3" w:rsidP="000B08E3">
            <w:pPr>
              <w:spacing w:after="0" w:line="240" w:lineRule="auto"/>
              <w:jc w:val="both"/>
              <w:rPr>
                <w:rFonts w:ascii="Times New Roman" w:eastAsia="Times New Roman" w:hAnsi="Times New Roman" w:cs="Times New Roman"/>
                <w:sz w:val="20"/>
                <w:szCs w:val="20"/>
                <w:lang w:eastAsia="fr-FR"/>
              </w:rPr>
            </w:pPr>
            <w:r w:rsidRPr="000B08E3">
              <w:rPr>
                <w:rFonts w:ascii="Comic Sans MS" w:eastAsia="Times New Roman" w:hAnsi="Comic Sans MS" w:cs="Times New Roman"/>
                <w:lang w:eastAsia="fr-FR"/>
              </w:rPr>
              <w:t>- Les Fondements de l’intervention des pouvoirs publics</w:t>
            </w:r>
          </w:p>
        </w:tc>
      </w:tr>
      <w:tr w:rsidR="000B08E3" w:rsidRPr="000B08E3" w:rsidTr="000B08E3">
        <w:trPr>
          <w:trHeight w:val="1294"/>
        </w:trPr>
        <w:tc>
          <w:tcPr>
            <w:tcW w:w="104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08E3" w:rsidRPr="000B08E3" w:rsidRDefault="000B08E3" w:rsidP="000B08E3">
            <w:pPr>
              <w:spacing w:after="0" w:line="240" w:lineRule="auto"/>
              <w:jc w:val="both"/>
              <w:rPr>
                <w:rFonts w:ascii="Times New Roman" w:eastAsia="Times New Roman" w:hAnsi="Times New Roman" w:cs="Times New Roman"/>
                <w:sz w:val="20"/>
                <w:szCs w:val="20"/>
                <w:lang w:eastAsia="fr-FR"/>
              </w:rPr>
            </w:pPr>
            <w:r w:rsidRPr="000B08E3">
              <w:rPr>
                <w:rFonts w:ascii="Comic Sans MS" w:eastAsia="Times New Roman" w:hAnsi="Comic Sans MS" w:cs="Times New Roman"/>
                <w:b/>
                <w:bCs/>
                <w:sz w:val="24"/>
                <w:szCs w:val="24"/>
                <w:u w:val="single"/>
                <w:lang w:eastAsia="fr-FR"/>
              </w:rPr>
              <w:t>Objectifs disciplinaires :</w:t>
            </w:r>
          </w:p>
          <w:p w:rsidR="000B08E3" w:rsidRPr="000B08E3" w:rsidRDefault="000B08E3" w:rsidP="000B08E3">
            <w:pPr>
              <w:spacing w:after="0" w:line="240" w:lineRule="auto"/>
              <w:jc w:val="both"/>
              <w:rPr>
                <w:rFonts w:ascii="Times New Roman" w:eastAsia="Times New Roman" w:hAnsi="Times New Roman" w:cs="Times New Roman"/>
                <w:sz w:val="20"/>
                <w:szCs w:val="20"/>
                <w:lang w:eastAsia="fr-FR"/>
              </w:rPr>
            </w:pPr>
            <w:r w:rsidRPr="000B08E3">
              <w:rPr>
                <w:rFonts w:ascii="Comic Sans MS" w:eastAsia="Times New Roman" w:hAnsi="Comic Sans MS" w:cs="Times New Roman"/>
                <w:lang w:eastAsia="fr-FR"/>
              </w:rPr>
              <w:t>- Illustrer la notion d’externalité</w:t>
            </w:r>
          </w:p>
          <w:p w:rsidR="000B08E3" w:rsidRPr="000B08E3" w:rsidRDefault="000B08E3" w:rsidP="000B08E3">
            <w:pPr>
              <w:spacing w:after="0" w:line="240" w:lineRule="auto"/>
              <w:jc w:val="both"/>
              <w:rPr>
                <w:rFonts w:ascii="Times New Roman" w:eastAsia="Times New Roman" w:hAnsi="Times New Roman" w:cs="Times New Roman"/>
                <w:sz w:val="20"/>
                <w:szCs w:val="20"/>
                <w:lang w:eastAsia="fr-FR"/>
              </w:rPr>
            </w:pPr>
            <w:r w:rsidRPr="000B08E3">
              <w:rPr>
                <w:rFonts w:ascii="Comic Sans MS" w:eastAsia="Times New Roman" w:hAnsi="Comic Sans MS" w:cs="Times New Roman"/>
                <w:lang w:eastAsia="fr-FR"/>
              </w:rPr>
              <w:t>- Illustrer la stratégie de baisse des coûts de production</w:t>
            </w:r>
          </w:p>
          <w:p w:rsidR="000B08E3" w:rsidRPr="000B08E3" w:rsidRDefault="000B08E3" w:rsidP="000B08E3">
            <w:pPr>
              <w:spacing w:after="0" w:line="240" w:lineRule="auto"/>
              <w:jc w:val="both"/>
              <w:rPr>
                <w:rFonts w:ascii="Times New Roman" w:eastAsia="Times New Roman" w:hAnsi="Times New Roman" w:cs="Times New Roman"/>
                <w:sz w:val="20"/>
                <w:szCs w:val="20"/>
                <w:lang w:eastAsia="fr-FR"/>
              </w:rPr>
            </w:pPr>
            <w:r w:rsidRPr="000B08E3">
              <w:rPr>
                <w:rFonts w:ascii="Comic Sans MS" w:eastAsia="Times New Roman" w:hAnsi="Comic Sans MS" w:cs="Times New Roman"/>
                <w:lang w:eastAsia="fr-FR"/>
              </w:rPr>
              <w:t>- Introduire la notion de développement durable</w:t>
            </w:r>
          </w:p>
          <w:p w:rsidR="000B08E3" w:rsidRPr="000B08E3" w:rsidRDefault="000B08E3" w:rsidP="000B08E3">
            <w:pPr>
              <w:spacing w:after="0" w:line="240" w:lineRule="auto"/>
              <w:jc w:val="both"/>
              <w:rPr>
                <w:rFonts w:ascii="Times New Roman" w:eastAsia="Times New Roman" w:hAnsi="Times New Roman" w:cs="Times New Roman"/>
                <w:sz w:val="20"/>
                <w:szCs w:val="20"/>
                <w:lang w:eastAsia="fr-FR"/>
              </w:rPr>
            </w:pPr>
            <w:r w:rsidRPr="000B08E3">
              <w:rPr>
                <w:rFonts w:ascii="Comic Sans MS" w:eastAsia="Times New Roman" w:hAnsi="Comic Sans MS" w:cs="Times New Roman"/>
                <w:sz w:val="20"/>
                <w:szCs w:val="20"/>
                <w:lang w:eastAsia="fr-FR"/>
              </w:rPr>
              <w:t> </w:t>
            </w:r>
          </w:p>
        </w:tc>
      </w:tr>
      <w:tr w:rsidR="000B08E3" w:rsidRPr="000B08E3" w:rsidTr="000B08E3">
        <w:trPr>
          <w:trHeight w:val="1108"/>
        </w:trPr>
        <w:tc>
          <w:tcPr>
            <w:tcW w:w="104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08E3" w:rsidRPr="000B08E3" w:rsidRDefault="000B08E3" w:rsidP="000B08E3">
            <w:pPr>
              <w:spacing w:after="0" w:line="240" w:lineRule="auto"/>
              <w:jc w:val="both"/>
              <w:rPr>
                <w:rFonts w:ascii="Times New Roman" w:eastAsia="Times New Roman" w:hAnsi="Times New Roman" w:cs="Times New Roman"/>
                <w:sz w:val="20"/>
                <w:szCs w:val="20"/>
                <w:lang w:eastAsia="fr-FR"/>
              </w:rPr>
            </w:pPr>
            <w:r w:rsidRPr="000B08E3">
              <w:rPr>
                <w:rFonts w:ascii="Comic Sans MS" w:eastAsia="Times New Roman" w:hAnsi="Comic Sans MS" w:cs="Times New Roman"/>
                <w:b/>
                <w:bCs/>
                <w:sz w:val="24"/>
                <w:szCs w:val="24"/>
                <w:u w:val="single"/>
                <w:lang w:eastAsia="fr-FR"/>
              </w:rPr>
              <w:t>Prénotions :</w:t>
            </w:r>
          </w:p>
          <w:p w:rsidR="000B08E3" w:rsidRPr="000B08E3" w:rsidRDefault="000B08E3" w:rsidP="000B08E3">
            <w:pPr>
              <w:spacing w:after="0" w:line="240" w:lineRule="auto"/>
              <w:jc w:val="both"/>
              <w:rPr>
                <w:rFonts w:ascii="Times New Roman" w:eastAsia="Times New Roman" w:hAnsi="Times New Roman" w:cs="Times New Roman"/>
                <w:sz w:val="20"/>
                <w:szCs w:val="20"/>
                <w:lang w:eastAsia="fr-FR"/>
              </w:rPr>
            </w:pPr>
            <w:r w:rsidRPr="000B08E3">
              <w:rPr>
                <w:rFonts w:ascii="Comic Sans MS" w:eastAsia="Times New Roman" w:hAnsi="Comic Sans MS" w:cs="Times New Roman"/>
                <w:lang w:eastAsia="fr-FR"/>
              </w:rPr>
              <w:t>- Externalité</w:t>
            </w:r>
          </w:p>
          <w:p w:rsidR="000B08E3" w:rsidRPr="000B08E3" w:rsidRDefault="000B08E3" w:rsidP="000B08E3">
            <w:pPr>
              <w:spacing w:after="0" w:line="240" w:lineRule="auto"/>
              <w:jc w:val="both"/>
              <w:rPr>
                <w:rFonts w:ascii="Times New Roman" w:eastAsia="Times New Roman" w:hAnsi="Times New Roman" w:cs="Times New Roman"/>
                <w:sz w:val="20"/>
                <w:szCs w:val="20"/>
                <w:lang w:eastAsia="fr-FR"/>
              </w:rPr>
            </w:pPr>
            <w:r w:rsidRPr="000B08E3">
              <w:rPr>
                <w:rFonts w:ascii="Comic Sans MS" w:eastAsia="Times New Roman" w:hAnsi="Comic Sans MS" w:cs="Times New Roman"/>
                <w:lang w:eastAsia="fr-FR"/>
              </w:rPr>
              <w:t>- coût de production</w:t>
            </w:r>
          </w:p>
        </w:tc>
      </w:tr>
      <w:tr w:rsidR="000B08E3" w:rsidRPr="000B08E3" w:rsidTr="000B08E3">
        <w:trPr>
          <w:trHeight w:val="1544"/>
        </w:trPr>
        <w:tc>
          <w:tcPr>
            <w:tcW w:w="104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08E3" w:rsidRPr="000B08E3" w:rsidRDefault="000B08E3" w:rsidP="000B08E3">
            <w:pPr>
              <w:spacing w:after="0" w:line="240" w:lineRule="auto"/>
              <w:rPr>
                <w:rFonts w:ascii="Times New Roman" w:eastAsia="Times New Roman" w:hAnsi="Times New Roman" w:cs="Times New Roman"/>
                <w:sz w:val="20"/>
                <w:szCs w:val="20"/>
                <w:lang w:eastAsia="fr-FR"/>
              </w:rPr>
            </w:pPr>
            <w:r w:rsidRPr="000B08E3">
              <w:rPr>
                <w:rFonts w:ascii="Comic Sans MS" w:eastAsia="Times New Roman" w:hAnsi="Comic Sans MS" w:cs="Times New Roman"/>
                <w:b/>
                <w:bCs/>
                <w:sz w:val="24"/>
                <w:szCs w:val="24"/>
                <w:u w:val="single"/>
                <w:lang w:eastAsia="fr-FR"/>
              </w:rPr>
              <w:t>Conditions matérielles :</w:t>
            </w:r>
          </w:p>
          <w:p w:rsidR="000B08E3" w:rsidRPr="000B08E3" w:rsidRDefault="000B08E3" w:rsidP="000B08E3">
            <w:pPr>
              <w:spacing w:after="0" w:line="240" w:lineRule="auto"/>
              <w:rPr>
                <w:rFonts w:ascii="Times New Roman" w:eastAsia="Times New Roman" w:hAnsi="Times New Roman" w:cs="Times New Roman"/>
                <w:sz w:val="20"/>
                <w:szCs w:val="20"/>
                <w:lang w:eastAsia="fr-FR"/>
              </w:rPr>
            </w:pPr>
            <w:r w:rsidRPr="000B08E3">
              <w:rPr>
                <w:rFonts w:ascii="Comic Sans MS" w:eastAsia="Times New Roman" w:hAnsi="Comic Sans MS" w:cs="Times New Roman"/>
                <w:lang w:eastAsia="fr-FR"/>
              </w:rPr>
              <w:t>-Demi-classe (15 ou 16 élèves) pendant les heures de TD.</w:t>
            </w:r>
          </w:p>
          <w:p w:rsidR="000B08E3" w:rsidRPr="000B08E3" w:rsidRDefault="000B08E3" w:rsidP="000B08E3">
            <w:pPr>
              <w:spacing w:after="0" w:line="240" w:lineRule="auto"/>
              <w:rPr>
                <w:rFonts w:ascii="Times New Roman" w:eastAsia="Times New Roman" w:hAnsi="Times New Roman" w:cs="Times New Roman"/>
                <w:sz w:val="20"/>
                <w:szCs w:val="20"/>
                <w:lang w:eastAsia="fr-FR"/>
              </w:rPr>
            </w:pPr>
            <w:r w:rsidRPr="000B08E3">
              <w:rPr>
                <w:rFonts w:ascii="Comic Sans MS" w:eastAsia="Times New Roman" w:hAnsi="Comic Sans MS" w:cs="Times New Roman"/>
                <w:lang w:eastAsia="fr-FR"/>
              </w:rPr>
              <w:t>-Outils techniques :</w:t>
            </w:r>
          </w:p>
          <w:p w:rsidR="000B08E3" w:rsidRPr="000B08E3" w:rsidRDefault="000B08E3" w:rsidP="000B08E3">
            <w:pPr>
              <w:numPr>
                <w:ilvl w:val="0"/>
                <w:numId w:val="1"/>
              </w:numPr>
              <w:spacing w:after="0" w:line="240" w:lineRule="auto"/>
              <w:rPr>
                <w:rFonts w:ascii="Times New Roman" w:eastAsia="Times New Roman" w:hAnsi="Times New Roman" w:cs="Times New Roman"/>
                <w:sz w:val="20"/>
                <w:szCs w:val="20"/>
                <w:lang w:eastAsia="fr-FR"/>
              </w:rPr>
            </w:pPr>
            <w:proofErr w:type="spellStart"/>
            <w:r w:rsidRPr="000B08E3">
              <w:rPr>
                <w:rFonts w:ascii="Comic Sans MS" w:eastAsia="Times New Roman" w:hAnsi="Comic Sans MS" w:cs="Times New Roman"/>
                <w:lang w:eastAsia="fr-FR"/>
              </w:rPr>
              <w:t>Télévision+lecteur</w:t>
            </w:r>
            <w:proofErr w:type="spellEnd"/>
            <w:r w:rsidRPr="000B08E3">
              <w:rPr>
                <w:rFonts w:ascii="Comic Sans MS" w:eastAsia="Times New Roman" w:hAnsi="Comic Sans MS" w:cs="Times New Roman"/>
                <w:lang w:eastAsia="fr-FR"/>
              </w:rPr>
              <w:t xml:space="preserve"> DVD ou </w:t>
            </w:r>
            <w:proofErr w:type="spellStart"/>
            <w:r w:rsidRPr="000B08E3">
              <w:rPr>
                <w:rFonts w:ascii="Comic Sans MS" w:eastAsia="Times New Roman" w:hAnsi="Comic Sans MS" w:cs="Times New Roman"/>
                <w:lang w:eastAsia="fr-FR"/>
              </w:rPr>
              <w:t>vidéoprojecteur+ordinateur</w:t>
            </w:r>
            <w:proofErr w:type="spellEnd"/>
          </w:p>
          <w:p w:rsidR="000B08E3" w:rsidRPr="000B08E3" w:rsidRDefault="000B08E3" w:rsidP="000B08E3">
            <w:pPr>
              <w:numPr>
                <w:ilvl w:val="0"/>
                <w:numId w:val="1"/>
              </w:numPr>
              <w:spacing w:after="0" w:line="240" w:lineRule="auto"/>
              <w:rPr>
                <w:rFonts w:ascii="Times New Roman" w:eastAsia="Times New Roman" w:hAnsi="Times New Roman" w:cs="Times New Roman"/>
                <w:sz w:val="20"/>
                <w:szCs w:val="20"/>
                <w:lang w:eastAsia="fr-FR"/>
              </w:rPr>
            </w:pPr>
            <w:r w:rsidRPr="000B08E3">
              <w:rPr>
                <w:rFonts w:ascii="Comic Sans MS" w:eastAsia="Times New Roman" w:hAnsi="Comic Sans MS" w:cs="Times New Roman"/>
                <w:lang w:eastAsia="fr-FR"/>
              </w:rPr>
              <w:t>DVD intitulé </w:t>
            </w:r>
            <w:r w:rsidRPr="000B08E3">
              <w:rPr>
                <w:rFonts w:ascii="Comic Sans MS" w:eastAsia="Times New Roman" w:hAnsi="Comic Sans MS" w:cs="Times New Roman"/>
                <w:u w:val="single"/>
                <w:lang w:eastAsia="fr-FR"/>
              </w:rPr>
              <w:t>Travail décent, un revenu décent pour une vie décente </w:t>
            </w:r>
            <w:r w:rsidRPr="000B08E3">
              <w:rPr>
                <w:rFonts w:ascii="Comic Sans MS" w:eastAsia="Times New Roman" w:hAnsi="Comic Sans MS" w:cs="Times New Roman"/>
                <w:lang w:eastAsia="fr-FR"/>
              </w:rPr>
              <w:t>intégrer dans la mallette pédagogique au du centre national de coopération au développement. (Disponible à Info jeunesse Jura à Lons-Le-Saunier)</w:t>
            </w:r>
          </w:p>
          <w:p w:rsidR="000B08E3" w:rsidRPr="000B08E3" w:rsidRDefault="000B08E3" w:rsidP="000B08E3">
            <w:pPr>
              <w:spacing w:after="0" w:line="240" w:lineRule="auto"/>
              <w:rPr>
                <w:rFonts w:ascii="Times New Roman" w:eastAsia="Times New Roman" w:hAnsi="Times New Roman" w:cs="Times New Roman"/>
                <w:sz w:val="20"/>
                <w:szCs w:val="20"/>
                <w:lang w:eastAsia="fr-FR"/>
              </w:rPr>
            </w:pPr>
            <w:r w:rsidRPr="000B08E3">
              <w:rPr>
                <w:rFonts w:ascii="Comic Sans MS" w:eastAsia="Times New Roman" w:hAnsi="Comic Sans MS" w:cs="Times New Roman"/>
                <w:sz w:val="20"/>
                <w:szCs w:val="20"/>
                <w:lang w:eastAsia="fr-FR"/>
              </w:rPr>
              <w:t> </w:t>
            </w:r>
          </w:p>
        </w:tc>
      </w:tr>
    </w:tbl>
    <w:p w:rsidR="000B08E3" w:rsidRPr="000B08E3" w:rsidRDefault="000B08E3" w:rsidP="000B08E3">
      <w:pPr>
        <w:shd w:val="clear" w:color="auto" w:fill="D9D9D9"/>
        <w:spacing w:after="0" w:line="240" w:lineRule="auto"/>
        <w:jc w:val="center"/>
        <w:rPr>
          <w:rFonts w:ascii="Times New Roman" w:eastAsia="Times New Roman" w:hAnsi="Times New Roman" w:cs="Times New Roman"/>
          <w:color w:val="000000"/>
          <w:sz w:val="20"/>
          <w:szCs w:val="20"/>
          <w:lang w:eastAsia="fr-FR"/>
        </w:rPr>
      </w:pPr>
      <w:r w:rsidRPr="000B08E3">
        <w:rPr>
          <w:rFonts w:ascii="Tahoma" w:eastAsia="Times New Roman" w:hAnsi="Tahoma" w:cs="Tahoma"/>
          <w:b/>
          <w:bCs/>
          <w:color w:val="000000"/>
          <w:sz w:val="24"/>
          <w:szCs w:val="24"/>
          <w:lang w:eastAsia="fr-FR"/>
        </w:rPr>
        <w:t>Etude d’un document audiovisuel : </w:t>
      </w:r>
      <w:r w:rsidRPr="000B08E3">
        <w:rPr>
          <w:rFonts w:ascii="Tahoma" w:eastAsia="Times New Roman" w:hAnsi="Tahoma" w:cs="Tahoma"/>
          <w:b/>
          <w:bCs/>
          <w:color w:val="000000"/>
          <w:sz w:val="24"/>
          <w:szCs w:val="24"/>
          <w:u w:val="single"/>
          <w:lang w:eastAsia="fr-FR"/>
        </w:rPr>
        <w:t>Nous achetons, qui paye</w:t>
      </w:r>
      <w:r w:rsidRPr="000B08E3">
        <w:rPr>
          <w:rFonts w:ascii="Tahoma" w:eastAsia="Times New Roman" w:hAnsi="Tahoma" w:cs="Tahoma"/>
          <w:b/>
          <w:bCs/>
          <w:color w:val="000000"/>
          <w:sz w:val="24"/>
          <w:szCs w:val="24"/>
          <w:lang w:eastAsia="fr-FR"/>
        </w:rPr>
        <w:t> ? 1 heure</w:t>
      </w:r>
    </w:p>
    <w:p w:rsidR="000B08E3" w:rsidRPr="000B08E3" w:rsidRDefault="000B08E3" w:rsidP="000B08E3">
      <w:pPr>
        <w:spacing w:after="0" w:line="240" w:lineRule="auto"/>
        <w:rPr>
          <w:rFonts w:ascii="Times New Roman" w:eastAsia="Times New Roman" w:hAnsi="Times New Roman" w:cs="Times New Roman"/>
          <w:color w:val="000000"/>
          <w:sz w:val="20"/>
          <w:szCs w:val="20"/>
          <w:lang w:eastAsia="fr-FR"/>
        </w:rPr>
      </w:pPr>
      <w:r w:rsidRPr="000B08E3">
        <w:rPr>
          <w:rFonts w:ascii="Tahoma" w:eastAsia="Times New Roman" w:hAnsi="Tahoma" w:cs="Tahoma"/>
          <w:color w:val="000000"/>
          <w:sz w:val="24"/>
          <w:szCs w:val="24"/>
          <w:lang w:eastAsia="fr-FR"/>
        </w:rPr>
        <w:t> </w:t>
      </w:r>
    </w:p>
    <w:p w:rsidR="000B08E3" w:rsidRPr="000B08E3" w:rsidRDefault="000B08E3" w:rsidP="000B08E3">
      <w:pPr>
        <w:spacing w:after="0" w:line="240" w:lineRule="auto"/>
        <w:rPr>
          <w:rFonts w:ascii="Times New Roman" w:eastAsia="Times New Roman" w:hAnsi="Times New Roman" w:cs="Times New Roman"/>
          <w:color w:val="000000"/>
          <w:sz w:val="20"/>
          <w:szCs w:val="20"/>
          <w:lang w:eastAsia="fr-FR"/>
        </w:rPr>
      </w:pPr>
      <w:r w:rsidRPr="000B08E3">
        <w:rPr>
          <w:rFonts w:ascii="Tahoma" w:eastAsia="Times New Roman" w:hAnsi="Tahoma" w:cs="Tahoma"/>
          <w:color w:val="000000"/>
          <w:sz w:val="24"/>
          <w:szCs w:val="24"/>
          <w:lang w:eastAsia="fr-FR"/>
        </w:rPr>
        <w:t> </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shd w:val="clear" w:color="auto" w:fill="FFFF00"/>
          <w:lang w:eastAsia="fr-FR"/>
        </w:rPr>
        <w:t>Questions</w:t>
      </w:r>
      <w:r w:rsidRPr="000B08E3">
        <w:rPr>
          <w:rFonts w:ascii="Comic Sans MS" w:eastAsia="Times New Roman" w:hAnsi="Comic Sans MS" w:cs="Times New Roman"/>
          <w:color w:val="000000"/>
          <w:sz w:val="24"/>
          <w:szCs w:val="24"/>
          <w:lang w:eastAsia="fr-FR"/>
        </w:rPr>
        <w:t> sur le documentaire </w:t>
      </w:r>
      <w:r w:rsidRPr="000B08E3">
        <w:rPr>
          <w:rFonts w:ascii="Comic Sans MS" w:eastAsia="Times New Roman" w:hAnsi="Comic Sans MS" w:cs="Times New Roman"/>
          <w:color w:val="000000"/>
          <w:sz w:val="24"/>
          <w:szCs w:val="24"/>
          <w:u w:val="single"/>
          <w:lang w:eastAsia="fr-FR"/>
        </w:rPr>
        <w:t>Nous achetons, qui paye ?</w:t>
      </w:r>
      <w:r w:rsidRPr="000B08E3">
        <w:rPr>
          <w:rFonts w:ascii="Comic Sans MS" w:eastAsia="Times New Roman" w:hAnsi="Comic Sans MS" w:cs="Times New Roman"/>
          <w:color w:val="000000"/>
          <w:sz w:val="24"/>
          <w:szCs w:val="24"/>
          <w:lang w:eastAsia="fr-FR"/>
        </w:rPr>
        <w:t> </w:t>
      </w:r>
      <w:proofErr w:type="gramStart"/>
      <w:r w:rsidRPr="000B08E3">
        <w:rPr>
          <w:rFonts w:ascii="Comic Sans MS" w:eastAsia="Times New Roman" w:hAnsi="Comic Sans MS" w:cs="Times New Roman"/>
          <w:color w:val="000000"/>
          <w:sz w:val="24"/>
          <w:szCs w:val="24"/>
          <w:lang w:eastAsia="fr-FR"/>
        </w:rPr>
        <w:t>de</w:t>
      </w:r>
      <w:proofErr w:type="gramEnd"/>
      <w:r w:rsidRPr="000B08E3">
        <w:rPr>
          <w:rFonts w:ascii="Comic Sans MS" w:eastAsia="Times New Roman" w:hAnsi="Comic Sans MS" w:cs="Times New Roman"/>
          <w:color w:val="000000"/>
          <w:sz w:val="24"/>
          <w:szCs w:val="24"/>
          <w:lang w:eastAsia="fr-FR"/>
        </w:rPr>
        <w:t xml:space="preserve"> Loka </w:t>
      </w:r>
      <w:proofErr w:type="spellStart"/>
      <w:r w:rsidRPr="000B08E3">
        <w:rPr>
          <w:rFonts w:ascii="Comic Sans MS" w:eastAsia="Times New Roman" w:hAnsi="Comic Sans MS" w:cs="Times New Roman"/>
          <w:color w:val="000000"/>
          <w:sz w:val="24"/>
          <w:szCs w:val="24"/>
          <w:lang w:eastAsia="fr-FR"/>
        </w:rPr>
        <w:t>Ekulund</w:t>
      </w:r>
      <w:proofErr w:type="spellEnd"/>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Q1) Quelle est la stratégie menée par les entreprises (les fournisseurs des détaillants occidentaux)?</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Q2) Comment sont obtenus les avantages pour les entreprises ?</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Q3) Dressez la liste des externalités négatives.</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Q4) En quoi ces externalités négatives compromettent-elles le bien être des générations futures ?</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 </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 </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Réponses</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Q1) Quelle est la stratégie menée par les entreprises présentées dans le documentaire (les fournisseurs des détaillants occidentaux)?</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Stratégie de réduction des coûts de production particulièrement du coût de la main d’œuvre afin d’obtenir des prix compétitifs. (Les détaillants recherchant toujours des fournisseurs présentant le prix le plus bas)</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lastRenderedPageBreak/>
        <w:t> </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Q2) Comment sont obtenus les avantages pour les entreprises ?</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 Elles versent des salaires horaires faibles particulièrement pour les enfants</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 Elles imposent un volume horaire de travail important (jusqu’à 15h par jour)</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 Elles n’assurent pas la sécurité des travailleurs (protection contre les produits chimiques par exemple dans la tannerie).</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Tout cela dans le mépris des législations internationales (Convention des Nations Unies) et nationales sur le travail.</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 </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Q3) Dressez la liste des externalités négatives.</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 Environnementale = les usines (tanneries, confection de vêtements) polluent les ruisseaux et les rivières ce qui a pour conséquence de détruire les cultures des champs et donc de rendre progressivement impossible l’agriculture.</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 Sociale = le travail des enfants interdit leur éducation  ce qui  réduit le niveau d’éducation (et donc leur future productivité)</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 </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Q4) En quoi ces externalités négatives compromettent-elles le bien être des générations futures ?</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D’une part, la pollution des champs est irréversible et interdit la culture de ses terres pour les générations futures.</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D’autre part, l’absence d’éducation des enfants d’aujourd’hui compromet l’éducation des générations futures. L’éducation passant par les mères, si les filles ne sont pas éduquées, elles n’inciteront pas leurs enfants à aller à l’école et donc à recevoir une éducation.</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L’éducation des filles a par ailleurs une incidence sur la fécondité et sur la santé (hygiène et propreté de l’habitat).</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 </w:t>
      </w:r>
    </w:p>
    <w:p w:rsidR="000B08E3" w:rsidRPr="000B08E3" w:rsidRDefault="000B08E3" w:rsidP="000B08E3">
      <w:pPr>
        <w:spacing w:after="0" w:line="240" w:lineRule="auto"/>
        <w:jc w:val="both"/>
        <w:rPr>
          <w:rFonts w:ascii="Times New Roman" w:eastAsia="Times New Roman" w:hAnsi="Times New Roman" w:cs="Times New Roman"/>
          <w:color w:val="000000"/>
          <w:sz w:val="20"/>
          <w:szCs w:val="20"/>
          <w:lang w:eastAsia="fr-FR"/>
        </w:rPr>
      </w:pPr>
      <w:r w:rsidRPr="000B08E3">
        <w:rPr>
          <w:rFonts w:ascii="Comic Sans MS" w:eastAsia="Times New Roman" w:hAnsi="Comic Sans MS" w:cs="Times New Roman"/>
          <w:color w:val="000000"/>
          <w:sz w:val="24"/>
          <w:szCs w:val="24"/>
          <w:lang w:eastAsia="fr-FR"/>
        </w:rPr>
        <w:t>Conclusion : Les modes de production, les stratégies, de ces entreprises n’assurent pas aux générations d’aujourd’hui des conditions de vie décentes mais aussi compromettent l’avenir des générations futures. Donc les modes de production et les stratégies des entreprises ne contribuent pas au développement durable. En effet, le développement durable est un concept qui introduit un aspect générationnel et </w:t>
      </w:r>
      <w:proofErr w:type="gramStart"/>
      <w:r w:rsidRPr="000B08E3">
        <w:rPr>
          <w:rFonts w:ascii="Comic Sans MS" w:eastAsia="Times New Roman" w:hAnsi="Comic Sans MS" w:cs="Times New Roman"/>
          <w:color w:val="000000"/>
          <w:sz w:val="24"/>
          <w:szCs w:val="24"/>
          <w:lang w:eastAsia="fr-FR"/>
        </w:rPr>
        <w:t>une</w:t>
      </w:r>
      <w:proofErr w:type="gramEnd"/>
      <w:r w:rsidRPr="000B08E3">
        <w:rPr>
          <w:rFonts w:ascii="Comic Sans MS" w:eastAsia="Times New Roman" w:hAnsi="Comic Sans MS" w:cs="Times New Roman"/>
          <w:color w:val="000000"/>
          <w:sz w:val="24"/>
          <w:szCs w:val="24"/>
          <w:lang w:eastAsia="fr-FR"/>
        </w:rPr>
        <w:t> double dimension, à la fois environnementale et sociale.</w:t>
      </w:r>
    </w:p>
    <w:p w:rsidR="005F5393" w:rsidRDefault="000B08E3" w:rsidP="000B08E3">
      <w:pPr>
        <w:spacing w:after="0" w:line="240" w:lineRule="auto"/>
        <w:jc w:val="both"/>
      </w:pPr>
      <w:r w:rsidRPr="000B08E3">
        <w:rPr>
          <w:rFonts w:ascii="Comic Sans MS" w:eastAsia="Times New Roman" w:hAnsi="Comic Sans MS" w:cs="Times New Roman"/>
          <w:color w:val="000000"/>
          <w:sz w:val="24"/>
          <w:szCs w:val="24"/>
          <w:lang w:eastAsia="fr-FR"/>
        </w:rPr>
        <w:t>Définition :</w:t>
      </w:r>
      <w:r w:rsidRPr="000B08E3">
        <w:rPr>
          <w:rFonts w:ascii="Comic Sans MS" w:eastAsia="Times New Roman" w:hAnsi="Comic Sans MS" w:cs="Times New Roman"/>
          <w:i/>
          <w:iCs/>
          <w:color w:val="000000"/>
          <w:sz w:val="20"/>
          <w:szCs w:val="20"/>
          <w:lang w:eastAsia="fr-FR"/>
        </w:rPr>
        <w:t> </w:t>
      </w:r>
      <w:r w:rsidRPr="000B08E3">
        <w:rPr>
          <w:rFonts w:ascii="Comic Sans MS" w:eastAsia="Times New Roman" w:hAnsi="Comic Sans MS" w:cs="Times New Roman"/>
          <w:i/>
          <w:iCs/>
          <w:color w:val="000000"/>
          <w:sz w:val="20"/>
          <w:szCs w:val="20"/>
          <w:shd w:val="clear" w:color="auto" w:fill="00FFFF"/>
          <w:lang w:eastAsia="fr-FR"/>
        </w:rPr>
        <w:t>« </w:t>
      </w:r>
      <w:r w:rsidRPr="000B08E3">
        <w:rPr>
          <w:rFonts w:ascii="Comic Sans MS" w:eastAsia="Times New Roman" w:hAnsi="Comic Sans MS" w:cs="Times New Roman"/>
          <w:b/>
          <w:bCs/>
          <w:i/>
          <w:iCs/>
          <w:color w:val="000000"/>
          <w:sz w:val="20"/>
          <w:szCs w:val="20"/>
          <w:shd w:val="clear" w:color="auto" w:fill="00FFFF"/>
          <w:lang w:eastAsia="fr-FR"/>
        </w:rPr>
        <w:t>Le </w:t>
      </w:r>
      <w:r w:rsidRPr="000B08E3">
        <w:rPr>
          <w:rFonts w:ascii="Comic Sans MS" w:eastAsia="Times New Roman" w:hAnsi="Comic Sans MS" w:cs="Times New Roman"/>
          <w:b/>
          <w:bCs/>
          <w:i/>
          <w:iCs/>
          <w:color w:val="FF0000"/>
          <w:sz w:val="20"/>
          <w:szCs w:val="20"/>
          <w:shd w:val="clear" w:color="auto" w:fill="00FFFF"/>
          <w:lang w:eastAsia="fr-FR"/>
        </w:rPr>
        <w:t>développement durable</w:t>
      </w:r>
      <w:r w:rsidRPr="000B08E3">
        <w:rPr>
          <w:rFonts w:ascii="Comic Sans MS" w:eastAsia="Times New Roman" w:hAnsi="Comic Sans MS" w:cs="Times New Roman"/>
          <w:b/>
          <w:bCs/>
          <w:i/>
          <w:iCs/>
          <w:color w:val="000000"/>
          <w:sz w:val="20"/>
          <w:szCs w:val="20"/>
          <w:shd w:val="clear" w:color="auto" w:fill="00FFFF"/>
          <w:lang w:eastAsia="fr-FR"/>
        </w:rPr>
        <w:t> est celui qui « répond aux besoins présents sans compromettre la capacité des générations futures à répondre aux leurs.</w:t>
      </w:r>
      <w:r w:rsidRPr="000B08E3">
        <w:rPr>
          <w:rFonts w:ascii="Comic Sans MS" w:eastAsia="Times New Roman" w:hAnsi="Comic Sans MS" w:cs="Times New Roman"/>
          <w:i/>
          <w:iCs/>
          <w:color w:val="000000"/>
          <w:sz w:val="20"/>
          <w:szCs w:val="20"/>
          <w:shd w:val="clear" w:color="auto" w:fill="00FFFF"/>
          <w:lang w:eastAsia="fr-FR"/>
        </w:rPr>
        <w:t> » - (Rapport Brundtland 1987)</w:t>
      </w:r>
      <w:bookmarkStart w:id="0" w:name="_GoBack"/>
      <w:bookmarkEnd w:id="0"/>
    </w:p>
    <w:sectPr w:rsidR="005F5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039AA"/>
    <w:multiLevelType w:val="multilevel"/>
    <w:tmpl w:val="F78E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9DC"/>
    <w:rsid w:val="000B08E3"/>
    <w:rsid w:val="005F5393"/>
    <w:rsid w:val="00DF09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78969">
      <w:bodyDiv w:val="1"/>
      <w:marLeft w:val="0"/>
      <w:marRight w:val="0"/>
      <w:marTop w:val="0"/>
      <w:marBottom w:val="0"/>
      <w:divBdr>
        <w:top w:val="none" w:sz="0" w:space="0" w:color="auto"/>
        <w:left w:val="none" w:sz="0" w:space="0" w:color="auto"/>
        <w:bottom w:val="none" w:sz="0" w:space="0" w:color="auto"/>
        <w:right w:val="none" w:sz="0" w:space="0" w:color="auto"/>
      </w:divBdr>
      <w:divsChild>
        <w:div w:id="617685081">
          <w:marLeft w:val="0"/>
          <w:marRight w:val="0"/>
          <w:marTop w:val="0"/>
          <w:marBottom w:val="0"/>
          <w:divBdr>
            <w:top w:val="single" w:sz="8" w:space="1" w:color="auto"/>
            <w:left w:val="single" w:sz="8" w:space="4" w:color="auto"/>
            <w:bottom w:val="single" w:sz="8" w:space="1" w:color="auto"/>
            <w:right w:val="single" w:sz="8" w:space="4" w:color="auto"/>
          </w:divBdr>
        </w:div>
        <w:div w:id="376785392">
          <w:marLeft w:val="0"/>
          <w:marRight w:val="0"/>
          <w:marTop w:val="0"/>
          <w:marBottom w:val="0"/>
          <w:divBdr>
            <w:top w:val="single" w:sz="8" w:space="1" w:color="auto"/>
            <w:left w:val="single" w:sz="8" w:space="4" w:color="auto"/>
            <w:bottom w:val="single" w:sz="8" w:space="1" w:color="auto"/>
            <w:right w:val="single" w:sz="8" w:space="4" w:color="auto"/>
          </w:divBdr>
        </w:div>
        <w:div w:id="355811351">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3165</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dc:creator>
  <cp:keywords/>
  <dc:description/>
  <cp:lastModifiedBy>Franck</cp:lastModifiedBy>
  <cp:revision>2</cp:revision>
  <dcterms:created xsi:type="dcterms:W3CDTF">2015-05-16T22:05:00Z</dcterms:created>
  <dcterms:modified xsi:type="dcterms:W3CDTF">2015-05-16T22:06:00Z</dcterms:modified>
</cp:coreProperties>
</file>