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val="false"/>
        <w:jc w:val="center"/>
        <w:spacing w:lineRule="atLeast" w:line="283" w:after="0" w:before="0"/>
        <w:rPr>
          <w:b/>
          <w:i w:val="false"/>
          <w:sz w:val="20"/>
          <w:highlight w:val="none"/>
        </w:rPr>
        <w:pBdr>
          <w:left w:val="none" w:color="000000" w:sz="4" w:space="0"/>
          <w:top w:val="none" w:color="000000" w:sz="4" w:space="0"/>
          <w:right w:val="none" w:color="000000" w:sz="4" w:space="0"/>
          <w:bottom w:val="none" w:color="000000" w:sz="4" w:space="0"/>
        </w:pBdr>
        <w:suppressLineNumbers w:val="0"/>
      </w:pPr>
      <w:r>
        <w:rPr>
          <w:sz w:val="20"/>
        </w:rPr>
      </w:r>
      <w:r>
        <w:rPr>
          <w:b/>
          <w:sz w:val="20"/>
        </w:rPr>
        <w:t xml:space="preserve">POINT DEBAT / Vers l</w:t>
      </w:r>
      <w:r>
        <w:rPr>
          <w:b/>
          <w:i w:val="false"/>
          <w:sz w:val="20"/>
        </w:rPr>
        <w:t xml:space="preserve">e « grand oral »</w:t>
      </w:r>
      <w:r>
        <w:rPr>
          <w:b/>
          <w:i w:val="false"/>
          <w:sz w:val="20"/>
        </w:rPr>
        <w:t xml:space="preserve"> : faut-il libéraliser les services publics ?</w:t>
      </w:r>
      <w:r>
        <w:rPr>
          <w:b/>
          <w:i w:val="false"/>
        </w:rPr>
      </w:r>
    </w:p>
    <w:p>
      <w:pPr>
        <w:contextualSpacing w:val="false"/>
        <w:jc w:val="center"/>
        <w:spacing w:lineRule="atLeast" w:line="283" w:after="0" w:before="0"/>
        <w:rPr>
          <w:b/>
          <w:i w:val="false"/>
          <w:sz w:val="20"/>
          <w:highlight w:val="none"/>
        </w:rPr>
        <w:pBdr>
          <w:left w:val="none" w:color="000000" w:sz="4" w:space="0"/>
          <w:top w:val="none" w:color="000000" w:sz="4" w:space="0"/>
          <w:right w:val="none" w:color="000000" w:sz="4" w:space="0"/>
          <w:bottom w:val="none" w:color="000000" w:sz="4" w:space="0"/>
        </w:pBdr>
        <w:suppressLineNumbers w:val="0"/>
      </w:pPr>
      <w:r>
        <w:rPr>
          <w:b/>
          <w:i w:val="false"/>
          <w:sz w:val="20"/>
          <w:highlight w:val="none"/>
        </w:rPr>
      </w:r>
      <w:r>
        <w:rPr>
          <w:b/>
          <w:i w:val="false"/>
          <w:sz w:val="20"/>
          <w:highlight w:val="none"/>
        </w:rPr>
      </w:r>
    </w:p>
    <w:p>
      <w:pPr>
        <w:contextualSpacing w:val="false"/>
        <w:jc w:val="both"/>
        <w:spacing w:lineRule="atLeast" w:line="283" w:after="0" w:before="0"/>
        <w:rPr>
          <w:sz w:val="20"/>
          <w:highlight w:val="none"/>
        </w:rPr>
        <w:pBdr>
          <w:left w:val="none" w:color="000000" w:sz="4" w:space="0"/>
          <w:top w:val="none" w:color="000000" w:sz="4" w:space="0"/>
          <w:right w:val="none" w:color="000000" w:sz="4" w:space="0"/>
          <w:bottom w:val="none" w:color="000000" w:sz="4" w:space="0"/>
        </w:pBdr>
        <w:suppressLineNumbers w:val="0"/>
      </w:pPr>
      <w:r>
        <w:rPr>
          <w:b/>
          <w:i w:val="false"/>
          <w:sz w:val="20"/>
          <w:highlight w:val="none"/>
        </w:rPr>
        <w:t xml:space="preserve">Sensibilisation : </w:t>
      </w:r>
      <w:r>
        <w:rPr>
          <w:b/>
          <w:i w:val="false"/>
          <w:sz w:val="20"/>
          <w:highlight w:val="none"/>
        </w:rPr>
      </w:r>
      <w:r>
        <w:rPr>
          <w:sz w:val="20"/>
        </w:rPr>
        <w:t xml:space="preserve"> </w:t>
      </w:r>
      <w:r>
        <w:rPr>
          <w:sz w:val="20"/>
          <w:highlight w:val="cyan"/>
        </w:rPr>
        <w:t xml:space="preserve">vidéo</w:t>
      </w:r>
      <w:r>
        <w:rPr>
          <w:sz w:val="20"/>
        </w:rPr>
        <w:t xml:space="preserve"> : Euronews : 1er juillet 2007 : ouverture à la concurrence pour tous (élargissement aux particuliers après les professionnels en 2004)</w:t>
      </w:r>
      <w:r>
        <w:rPr>
          <w:highlight w:val="none"/>
        </w:rPr>
      </w:r>
      <w:r/>
    </w:p>
    <w:p>
      <w:pPr>
        <w:contextualSpacing w:val="false"/>
        <w:jc w:val="both"/>
        <w:spacing w:lineRule="atLeast" w:line="283" w:after="0" w:before="0"/>
        <w:rPr>
          <w:b/>
          <w:i w:val="false"/>
        </w:rPr>
        <w:pBdr>
          <w:left w:val="none" w:color="000000" w:sz="4" w:space="0"/>
          <w:top w:val="none" w:color="000000" w:sz="4" w:space="0"/>
          <w:right w:val="none" w:color="000000" w:sz="4" w:space="0"/>
          <w:bottom w:val="none" w:color="000000" w:sz="4" w:space="0"/>
        </w:pBdr>
        <w:suppressLineNumbers w:val="0"/>
      </w:pPr>
      <w:r>
        <w:rPr>
          <w:sz w:val="20"/>
          <w:highlight w:val="none"/>
        </w:rPr>
      </w:r>
      <w:r>
        <w:rPr>
          <w:sz w:val="20"/>
          <w:highlight w:val="none"/>
        </w:rPr>
      </w:r>
    </w:p>
    <w:p>
      <w:pPr>
        <w:contextualSpacing w:val="false"/>
        <w:jc w:val="left"/>
        <w:spacing w:lineRule="atLeast" w:line="283" w:after="0" w:before="0"/>
        <w:rPr>
          <w:b/>
          <w:sz w:val="20"/>
        </w:rPr>
        <w:pBdr>
          <w:left w:val="none" w:color="000000" w:sz="4" w:space="0"/>
          <w:top w:val="none" w:color="000000" w:sz="4" w:space="0"/>
          <w:right w:val="none" w:color="000000" w:sz="4" w:space="0"/>
          <w:bottom w:val="none" w:color="000000" w:sz="4" w:space="0"/>
        </w:pBdr>
        <w:suppressLineNumbers w:val="0"/>
      </w:pPr>
      <w:r>
        <w:rPr>
          <w:b/>
          <w:sz w:val="20"/>
        </w:rPr>
        <w:t xml:space="preserve">ETAPE 1 : rechercher des arguments</w:t>
      </w:r>
      <w:r/>
    </w:p>
    <w:p>
      <w:pPr>
        <w:contextualSpacing w:val="false"/>
        <w:ind w:left="0" w:right="0" w:firstLine="0"/>
        <w:jc w:val="both"/>
        <w:spacing w:lineRule="atLeast" w:line="283" w:after="0" w:before="0"/>
        <w:shd w:val="clear" w:color="FFFFFF"/>
        <w:rPr>
          <w:rFonts w:ascii="Arial" w:hAnsi="Arial" w:cs="Arial" w:eastAsia="Arial"/>
          <w:sz w:val="20"/>
        </w:rPr>
        <w:pBdr>
          <w:left w:val="none" w:color="000000" w:sz="4" w:space="0"/>
          <w:top w:val="none" w:color="000000" w:sz="4" w:space="0"/>
          <w:right w:val="none" w:color="000000" w:sz="4" w:space="0"/>
          <w:bottom w:val="none" w:color="000000" w:sz="4" w:space="0"/>
        </w:pBdr>
        <w:outlineLvl w:val="0"/>
        <w:suppressLineNumbers w:val="0"/>
      </w:pPr>
      <w:r>
        <w:rPr>
          <w:rFonts w:ascii="Arial" w:hAnsi="Arial" w:cs="Arial" w:eastAsia="Arial"/>
          <w:sz w:val="20"/>
        </w:rPr>
      </w:r>
      <w:r>
        <w:rPr>
          <w:rFonts w:ascii="Arial" w:hAnsi="Arial" w:cs="Arial" w:eastAsia="Arial"/>
          <w:sz w:val="20"/>
        </w:rPr>
      </w:r>
    </w:p>
    <w:p>
      <w:pPr>
        <w:contextualSpacing w:val="false"/>
        <w:ind w:left="0" w:right="0" w:firstLine="0"/>
        <w:jc w:val="both"/>
        <w:spacing w:lineRule="atLeast" w:line="283" w:after="0" w:before="0"/>
        <w:shd w:val="clear" w:color="FFFFFF"/>
        <w:rPr>
          <w:rFonts w:ascii="Arial" w:hAnsi="Arial" w:cs="Arial" w:eastAsia="Arial"/>
          <w:color w:val="00B050"/>
          <w:sz w:val="20"/>
          <w:highlight w:val="green"/>
        </w:rPr>
        <w:pBdr>
          <w:left w:val="none" w:color="000000" w:sz="4" w:space="0"/>
          <w:top w:val="none" w:color="000000" w:sz="4" w:space="0"/>
          <w:right w:val="none" w:color="000000" w:sz="4" w:space="0"/>
          <w:bottom w:val="none" w:color="000000" w:sz="4" w:space="0"/>
        </w:pBdr>
        <w:outlineLvl w:val="0"/>
        <w:suppressLineNumbers w:val="0"/>
      </w:pPr>
      <w:r>
        <w:rPr>
          <w:rFonts w:ascii="Arial" w:hAnsi="Arial" w:cs="Arial" w:eastAsia="Arial"/>
          <w:b/>
          <w:sz w:val="20"/>
        </w:rPr>
        <w:t xml:space="preserve">Consigne : </w:t>
      </w:r>
      <w:r>
        <w:rPr>
          <w:rFonts w:ascii="Arial" w:hAnsi="Arial" w:cs="Arial" w:eastAsia="Arial"/>
          <w:sz w:val="20"/>
        </w:rPr>
        <w:t xml:space="preserve">en vous appuyant sur le contenu du cours et le texte ci-dessous, </w:t>
      </w:r>
      <w:r>
        <w:rPr>
          <w:b w:val="false"/>
          <w:sz w:val="20"/>
          <w:highlight w:val="none"/>
        </w:rPr>
        <w:t xml:space="preserve">listez les avantages attendus et les inconvénients de la libéralisation des services publics : </w:t>
      </w:r>
      <w:r>
        <w:rPr>
          <w:rFonts w:ascii="Arial" w:hAnsi="Arial" w:cs="Arial" w:eastAsia="Arial"/>
          <w:color w:val="00B050"/>
          <w:sz w:val="20"/>
        </w:rPr>
        <w:t xml:space="preserve">quelques pistes + </w:t>
      </w:r>
      <w:r>
        <w:rPr>
          <w:rFonts w:ascii="Arial" w:hAnsi="Arial" w:cs="Arial" w:eastAsia="Arial"/>
          <w:color w:val="00B050"/>
          <w:sz w:val="20"/>
          <w:highlight w:val="yellow"/>
        </w:rPr>
        <w:t xml:space="preserve">extraits </w:t>
      </w:r>
      <w:r>
        <w:rPr>
          <w:rFonts w:ascii="Arial" w:hAnsi="Arial" w:cs="Arial" w:eastAsia="Arial"/>
          <w:color w:val="00B050"/>
          <w:sz w:val="20"/>
          <w:highlight w:val="yellow"/>
        </w:rPr>
        <w:t xml:space="preserve">d</w:t>
      </w:r>
      <w:r>
        <w:rPr>
          <w:rFonts w:ascii="Arial" w:hAnsi="Arial" w:cs="Arial" w:eastAsia="Arial"/>
          <w:color w:val="00B050"/>
          <w:sz w:val="20"/>
          <w:highlight w:val="green"/>
        </w:rPr>
        <w:t xml:space="preserve">u texte</w:t>
      </w:r>
      <w:r>
        <w:rPr>
          <w:rFonts w:ascii="Arial" w:hAnsi="Arial" w:cs="Arial" w:eastAsia="Arial"/>
          <w:color w:val="00B050"/>
          <w:sz w:val="20"/>
          <w:highlight w:val="green"/>
        </w:rPr>
      </w:r>
    </w:p>
    <w:tbl>
      <w:tblPr>
        <w:tblStyle w:val="666"/>
        <w:tblW w:w="0" w:type="auto"/>
        <w:tblLayout w:type="fixed"/>
        <w:tblLook w:val="04A0" w:firstRow="1" w:lastRow="0" w:firstColumn="1" w:lastColumn="0" w:noHBand="0" w:noVBand="1"/>
      </w:tblPr>
      <w:tblGrid>
        <w:gridCol w:w="3401"/>
        <w:gridCol w:w="5954"/>
      </w:tblGrid>
      <w:tr>
        <w:trPr/>
        <w:tc>
          <w:tcPr>
            <w:tcW w:w="3401" w:type="dxa"/>
            <w:textDirection w:val="lrTb"/>
            <w:noWrap w:val="false"/>
          </w:tcPr>
          <w:p>
            <w:pPr>
              <w:contextualSpacing w:val="false"/>
              <w:jc w:val="center"/>
              <w:spacing w:lineRule="atLeast" w:line="283" w:after="0" w:before="0"/>
              <w:rPr>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t xml:space="preserve">Avantages </w:t>
            </w:r>
            <w:r>
              <w:rPr>
                <w:b/>
                <w:sz w:val="20"/>
                <w:highlight w:val="none"/>
              </w:rPr>
            </w:r>
            <w:r/>
          </w:p>
        </w:tc>
        <w:tc>
          <w:tcPr>
            <w:tcW w:w="5954" w:type="dxa"/>
            <w:textDirection w:val="lrTb"/>
            <w:noWrap w:val="false"/>
          </w:tcPr>
          <w:p>
            <w:pPr>
              <w:contextualSpacing w:val="false"/>
              <w:jc w:val="center"/>
              <w:spacing w:lineRule="atLeast" w:line="283" w:after="0" w:before="0"/>
              <w:rPr>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t xml:space="preserve">Inconvénients</w:t>
            </w:r>
            <w:r>
              <w:rPr>
                <w:b/>
                <w:sz w:val="20"/>
                <w:highlight w:val="none"/>
              </w:rPr>
            </w:r>
            <w:r/>
          </w:p>
        </w:tc>
      </w:tr>
      <w:tr>
        <w:trPr/>
        <w:tc>
          <w:tcPr>
            <w:tcW w:w="3401" w:type="dxa"/>
            <w:textDirection w:val="lrTb"/>
            <w:noWrap w:val="false"/>
          </w:tcPr>
          <w:p>
            <w:pPr>
              <w:pStyle w:val="814"/>
              <w:numPr>
                <w:ilvl w:val="0"/>
                <w:numId w:val="3"/>
              </w:numPr>
              <w:contextualSpacing w:val="false"/>
              <w:jc w:val="both"/>
              <w:spacing w:lineRule="atLeast" w:line="283" w:after="0" w:before="0"/>
              <w:rPr>
                <w:color w:val="00B050"/>
                <w:sz w:val="20"/>
              </w:rPr>
              <w:pBdr>
                <w:left w:val="none" w:color="000000" w:sz="4" w:space="0"/>
                <w:top w:val="none" w:color="000000" w:sz="4" w:space="0"/>
                <w:right w:val="none" w:color="000000" w:sz="4" w:space="0"/>
                <w:bottom w:val="none" w:color="000000" w:sz="4" w:space="0"/>
              </w:pBdr>
              <w:suppressLineNumbers w:val="0"/>
            </w:pPr>
            <w:r>
              <w:rPr>
                <w:color w:val="00B050"/>
                <w:sz w:val="20"/>
              </w:rPr>
              <w:t xml:space="preserve">baisser les prix,</w:t>
            </w:r>
            <w:r>
              <w:rPr>
                <w:color w:val="00B050"/>
              </w:rPr>
            </w:r>
          </w:p>
          <w:p>
            <w:pPr>
              <w:pStyle w:val="814"/>
              <w:numPr>
                <w:ilvl w:val="0"/>
                <w:numId w:val="3"/>
              </w:numPr>
              <w:contextualSpacing w:val="false"/>
              <w:jc w:val="both"/>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color w:val="00B050"/>
                <w:sz w:val="20"/>
              </w:rPr>
              <w:t xml:space="preserve">permettre aux consommateurs de bénéficier d’une plus grande qualité et/ou diversité de service,</w:t>
            </w:r>
            <w:r>
              <w:rPr>
                <w:b/>
                <w:color w:val="00B050"/>
                <w:sz w:val="20"/>
                <w:highlight w:val="none"/>
              </w:rPr>
            </w:r>
            <w:r>
              <w:rPr>
                <w:b/>
                <w:color w:val="00B050"/>
                <w:sz w:val="20"/>
                <w:highlight w:val="none"/>
              </w:rPr>
            </w:r>
          </w:p>
          <w:p>
            <w:pPr>
              <w:pStyle w:val="814"/>
              <w:numPr>
                <w:ilvl w:val="0"/>
                <w:numId w:val="3"/>
              </w:numPr>
              <w:contextualSpacing w:val="false"/>
              <w:jc w:val="both"/>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color w:val="00B050"/>
                <w:sz w:val="20"/>
                <w:highlight w:val="none"/>
              </w:rPr>
              <w:t xml:space="preserve">Améliorer la qualité,</w:t>
            </w:r>
            <w:r>
              <w:rPr>
                <w:color w:val="00B050"/>
                <w:sz w:val="20"/>
                <w:highlight w:val="none"/>
              </w:rPr>
            </w:r>
          </w:p>
          <w:p>
            <w:pPr>
              <w:pStyle w:val="814"/>
              <w:numPr>
                <w:ilvl w:val="0"/>
                <w:numId w:val="3"/>
              </w:numPr>
              <w:contextualSpacing w:val="false"/>
              <w:jc w:val="both"/>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color w:val="00B050"/>
                <w:sz w:val="20"/>
                <w:highlight w:val="none"/>
              </w:rPr>
              <w:t xml:space="preserve">Développer l’innovation.</w:t>
            </w:r>
            <w:r>
              <w:rPr>
                <w:color w:val="00B050"/>
                <w:sz w:val="20"/>
                <w:highlight w:val="none"/>
              </w:rPr>
            </w:r>
          </w:p>
          <w:p>
            <w:pPr>
              <w:contextualSpacing w:val="false"/>
              <w:jc w:val="left"/>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b/>
                <w:color w:val="00B050"/>
                <w:sz w:val="20"/>
                <w:highlight w:val="none"/>
              </w:rPr>
            </w:r>
            <w:r>
              <w:rPr>
                <w:b/>
                <w:color w:val="00B050"/>
                <w:sz w:val="20"/>
                <w:highlight w:val="none"/>
              </w:rPr>
            </w:r>
          </w:p>
          <w:p>
            <w:pPr>
              <w:contextualSpacing w:val="false"/>
              <w:jc w:val="left"/>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b/>
                <w:color w:val="00B050"/>
                <w:sz w:val="20"/>
                <w:highlight w:val="none"/>
              </w:rPr>
            </w:r>
            <w:r>
              <w:rPr>
                <w:b/>
                <w:color w:val="00B050"/>
                <w:sz w:val="20"/>
                <w:highlight w:val="none"/>
              </w:rPr>
            </w:r>
          </w:p>
          <w:p>
            <w:pPr>
              <w:contextualSpacing w:val="false"/>
              <w:jc w:val="left"/>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b/>
                <w:color w:val="00B050"/>
                <w:sz w:val="20"/>
                <w:highlight w:val="none"/>
              </w:rPr>
            </w:r>
            <w:r>
              <w:rPr>
                <w:b/>
                <w:color w:val="00B050"/>
                <w:sz w:val="20"/>
                <w:highlight w:val="none"/>
              </w:rPr>
            </w:r>
          </w:p>
          <w:p>
            <w:pPr>
              <w:contextualSpacing w:val="false"/>
              <w:jc w:val="left"/>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b/>
                <w:color w:val="00B050"/>
                <w:sz w:val="20"/>
                <w:highlight w:val="none"/>
              </w:rPr>
            </w:r>
            <w:r>
              <w:rPr>
                <w:b/>
                <w:color w:val="00B050"/>
                <w:sz w:val="20"/>
                <w:highlight w:val="none"/>
              </w:rPr>
            </w:r>
          </w:p>
          <w:p>
            <w:pPr>
              <w:contextualSpacing w:val="false"/>
              <w:jc w:val="left"/>
              <w:spacing w:lineRule="atLeast" w:line="283" w:after="0" w:before="0"/>
              <w:rPr>
                <w:b/>
                <w:color w:val="00B050"/>
                <w:sz w:val="20"/>
                <w:highlight w:val="none"/>
              </w:rPr>
              <w:pBdr>
                <w:left w:val="none" w:color="000000" w:sz="4" w:space="0"/>
                <w:top w:val="none" w:color="000000" w:sz="4" w:space="0"/>
                <w:right w:val="none" w:color="000000" w:sz="4" w:space="0"/>
                <w:bottom w:val="none" w:color="000000" w:sz="4" w:space="0"/>
              </w:pBdr>
              <w:suppressLineNumbers w:val="0"/>
            </w:pPr>
            <w:r>
              <w:rPr>
                <w:b/>
                <w:color w:val="00B050"/>
                <w:sz w:val="20"/>
                <w:highlight w:val="none"/>
              </w:rPr>
            </w:r>
            <w:r>
              <w:rPr>
                <w:b/>
                <w:color w:val="00B050"/>
                <w:sz w:val="20"/>
                <w:highlight w:val="none"/>
              </w:rPr>
            </w:r>
            <w:r>
              <w:rPr>
                <w:color w:val="00B050"/>
              </w:rPr>
            </w:r>
          </w:p>
        </w:tc>
        <w:tc>
          <w:tcPr>
            <w:tcW w:w="5954" w:type="dxa"/>
            <w:textDirection w:val="lrTb"/>
            <w:noWrap w:val="false"/>
          </w:tcPr>
          <w:p>
            <w:pPr>
              <w:pStyle w:val="814"/>
              <w:numPr>
                <w:ilvl w:val="0"/>
                <w:numId w:val="4"/>
              </w:numPr>
              <w:contextualSpacing w:val="false"/>
              <w:jc w:val="both"/>
              <w:spacing w:lineRule="atLeast" w:line="283" w:after="0" w:before="0"/>
              <w:rPr>
                <w:color w:val="00B050"/>
              </w:rPr>
              <w:pBdr>
                <w:left w:val="none" w:color="000000" w:sz="4" w:space="0"/>
                <w:top w:val="none" w:color="000000" w:sz="4" w:space="0"/>
                <w:right w:val="none" w:color="000000" w:sz="4" w:space="0"/>
                <w:bottom w:val="none" w:color="000000" w:sz="4" w:space="0"/>
              </w:pBdr>
              <w:suppressLineNumbers w:val="0"/>
            </w:pPr>
            <w:r>
              <w:rPr>
                <w:color w:val="00B050"/>
                <w:sz w:val="20"/>
              </w:rPr>
              <w:t xml:space="preserve">Les producteurs conservent donc, comme avant la libéralisation, un pouvoir de marché et un contrôle important des prix (price-maker) : la baisse des prix attendue n’est pas toujours observée et le consommateur est confronté à davantage d’incertitude (fluc</w:t>
            </w:r>
            <w:r>
              <w:rPr>
                <w:color w:val="00B050"/>
                <w:sz w:val="20"/>
              </w:rPr>
              <w:t xml:space="preserve">tuations des prix).</w:t>
            </w:r>
            <w:r>
              <w:rPr>
                <w:color w:val="00B050"/>
              </w:rPr>
            </w:r>
            <w:r>
              <w:rPr>
                <w:color w:val="00B050"/>
              </w:rPr>
            </w:r>
          </w:p>
          <w:p>
            <w:pPr>
              <w:pStyle w:val="814"/>
              <w:numPr>
                <w:ilvl w:val="0"/>
                <w:numId w:val="5"/>
              </w:numPr>
              <w:contextualSpacing w:val="false"/>
              <w:jc w:val="both"/>
              <w:spacing w:lineRule="atLeast" w:line="283" w:after="0" w:before="0"/>
              <w:rPr>
                <w:color w:val="00B050"/>
              </w:rPr>
              <w:pBdr>
                <w:left w:val="none" w:color="000000" w:sz="4" w:space="0"/>
                <w:top w:val="none" w:color="000000" w:sz="4" w:space="0"/>
                <w:right w:val="none" w:color="000000" w:sz="4" w:space="0"/>
                <w:bottom w:val="none" w:color="000000" w:sz="4" w:space="0"/>
              </w:pBdr>
              <w:suppressLineNumbers w:val="0"/>
            </w:pPr>
            <w:r>
              <w:rPr>
                <w:color w:val="00B050"/>
                <w:sz w:val="20"/>
              </w:rPr>
              <w:t xml:space="preserve">D’autre part, la recherche de rentabilité peut entrainer une dégradation de la qualité pour les usagers(sous-investissement → risques de pannes et dysfonctionnement, problème d’ « équité territoriale » etc.) : </w:t>
            </w:r>
            <w:r>
              <w:rPr>
                <w:color w:val="00B050"/>
              </w:rPr>
            </w:r>
            <w:r>
              <w:rPr>
                <w:color w:val="00B050"/>
              </w:rPr>
            </w:r>
          </w:p>
          <w:p>
            <w:pPr>
              <w:pStyle w:val="814"/>
              <w:numPr>
                <w:ilvl w:val="0"/>
                <w:numId w:val="5"/>
              </w:numPr>
              <w:contextualSpacing w:val="false"/>
              <w:jc w:val="both"/>
              <w:spacing w:lineRule="atLeast" w:line="283" w:after="0" w:before="0"/>
              <w:rPr>
                <w:color w:val="00B050"/>
              </w:rPr>
              <w:pBdr>
                <w:left w:val="none" w:color="000000" w:sz="4" w:space="0"/>
                <w:top w:val="none" w:color="000000" w:sz="4" w:space="0"/>
                <w:right w:val="none" w:color="000000" w:sz="4" w:space="0"/>
                <w:bottom w:val="none" w:color="000000" w:sz="4" w:space="0"/>
              </w:pBdr>
              <w:suppressLineNumbers w:val="0"/>
            </w:pPr>
            <w:r>
              <w:rPr>
                <w:color w:val="00B050"/>
                <w:sz w:val="20"/>
              </w:rPr>
              <w:t xml:space="preserve">E</w:t>
            </w:r>
            <w:r>
              <w:rPr>
                <w:color w:val="00B050"/>
                <w:sz w:val="20"/>
              </w:rPr>
              <w:t xml:space="preserve">nfin, il peut y avoir une précarisation des travailleurs puisque la recherche de rentabilité financière s’accompagne d’une volonté de réduction des coûts et d’un recours accru à l’externalisation.</w:t>
            </w:r>
            <w:r>
              <w:rPr>
                <w:color w:val="00B050"/>
              </w:rPr>
            </w:r>
            <w:r>
              <w:rPr>
                <w:color w:val="00B050"/>
              </w:rPr>
            </w:r>
            <w:r>
              <w:rPr>
                <w:b/>
                <w:color w:val="00B050"/>
                <w:sz w:val="20"/>
                <w:highlight w:val="none"/>
              </w:rPr>
            </w:r>
            <w:r>
              <w:rPr>
                <w:b/>
                <w:color w:val="00B050"/>
                <w:sz w:val="20"/>
                <w:highlight w:val="none"/>
              </w:rPr>
            </w:r>
            <w:r>
              <w:rPr>
                <w:color w:val="00B050"/>
              </w:rPr>
            </w:r>
          </w:p>
        </w:tc>
      </w:tr>
    </w:tbl>
    <w:p>
      <w:pPr>
        <w:contextualSpacing w:val="false"/>
        <w:ind w:left="0" w:right="0" w:firstLine="0"/>
        <w:jc w:val="both"/>
        <w:spacing w:lineRule="atLeast" w:line="282" w:after="0" w:before="0"/>
        <w:shd w:val="clear" w:color="FFFFFF"/>
        <w:rPr>
          <w:rFonts w:ascii="Open Sans" w:hAnsi="Open Sans" w:cs="Open Sans" w:eastAsia="Open Sans"/>
          <w:b w:val="false"/>
          <w:color w:val="auto"/>
          <w:sz w:val="16"/>
          <w:highlight w:val="none"/>
        </w:rPr>
        <w:pBdr>
          <w:left w:val="none" w:color="000000" w:sz="4" w:space="0"/>
          <w:top w:val="none" w:color="000000" w:sz="4" w:space="0"/>
          <w:right w:val="none" w:color="000000" w:sz="4" w:space="0"/>
          <w:bottom w:val="none" w:color="000000" w:sz="4" w:space="0"/>
        </w:pBdr>
        <w:outlineLvl w:val="0"/>
        <w:suppressLineNumbers w:val="0"/>
      </w:pPr>
      <w:r>
        <w:rPr>
          <w:rFonts w:ascii="Open Sans" w:hAnsi="Open Sans" w:cs="Open Sans" w:eastAsia="Open Sans"/>
          <w:b w:val="false"/>
          <w:color w:val="auto"/>
          <w:sz w:val="16"/>
          <w:highlight w:val="none"/>
        </w:rPr>
      </w:r>
      <w:r>
        <w:rPr>
          <w:rFonts w:ascii="Open Sans" w:hAnsi="Open Sans" w:cs="Open Sans" w:eastAsia="Open Sans"/>
          <w:b w:val="false"/>
          <w:color w:val="auto"/>
          <w:sz w:val="16"/>
          <w:highlight w:val="none"/>
        </w:rPr>
      </w:r>
    </w:p>
    <w:p>
      <w:pPr>
        <w:contextualSpacing w:val="false"/>
        <w:ind w:left="0" w:right="0" w:firstLine="0"/>
        <w:jc w:val="both"/>
        <w:spacing w:lineRule="atLeast" w:line="282" w:after="0" w:before="0"/>
        <w:shd w:val="clear" w:color="FFFFFF"/>
        <w:rPr>
          <w:rFonts w:ascii="Open Sans" w:hAnsi="Open Sans" w:cs="Open Sans" w:eastAsia="Open Sans"/>
          <w:b w:val="false"/>
          <w:color w:val="auto"/>
          <w:sz w:val="16"/>
          <w:highlight w:val="none"/>
        </w:rPr>
        <w:pBdr>
          <w:left w:val="none" w:color="000000" w:sz="4" w:space="0"/>
          <w:top w:val="none" w:color="000000" w:sz="4" w:space="0"/>
          <w:right w:val="none" w:color="000000" w:sz="4" w:space="0"/>
          <w:bottom w:val="none" w:color="000000" w:sz="4" w:space="0"/>
        </w:pBdr>
        <w:outlineLvl w:val="0"/>
        <w:suppressLineNumbers w:val="0"/>
      </w:pPr>
      <w:r>
        <w:rPr>
          <w:rFonts w:ascii="Arial" w:hAnsi="Arial" w:cs="Arial" w:eastAsia="Arial"/>
          <w:b w:val="false"/>
          <w:color w:val="auto"/>
          <w:sz w:val="20"/>
        </w:rPr>
      </w:r>
      <w:r>
        <w:rPr>
          <w:rFonts w:ascii="Open Sans" w:hAnsi="Open Sans" w:cs="Open Sans" w:eastAsia="Open Sans"/>
          <w:b w:val="false"/>
          <w:color w:val="auto"/>
          <w:sz w:val="16"/>
        </w:rPr>
        <w:t xml:space="preserve">D</w:t>
      </w:r>
      <w:r>
        <w:rPr>
          <w:rFonts w:ascii="Open Sans" w:hAnsi="Open Sans" w:cs="Open Sans" w:eastAsia="Open Sans"/>
          <w:b w:val="false"/>
          <w:color w:val="auto"/>
          <w:sz w:val="16"/>
        </w:rPr>
        <w:t xml:space="preserve">epuis plus de trente ans, UE et Etats membres mènent des politiques de libéralisation et d’ouverture progressive à la concurrence de services publics. Sans pour autant évaluer leurs conséquences.</w:t>
      </w:r>
      <w:r>
        <w:rPr>
          <w:b w:val="false"/>
          <w:color w:val="auto"/>
          <w:sz w:val="16"/>
        </w:rPr>
      </w:r>
    </w:p>
    <w:p>
      <w:pPr>
        <w:contextualSpacing w:val="false"/>
        <w:ind w:left="0" w:right="0" w:firstLine="0"/>
        <w:jc w:val="both"/>
        <w:spacing w:lineRule="atLeast" w:line="282" w:after="0" w:before="0"/>
        <w:rPr>
          <w:rFonts w:ascii="Open Sans" w:hAnsi="Open Sans" w:cs="Open Sans" w:eastAsia="Open Sans"/>
          <w:color w:val="auto"/>
          <w:sz w:val="16"/>
          <w:highlight w:val="none"/>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rPr>
        <w:t xml:space="preserve">Depuis les années 1980, l’Union européenne et les Etats membres ont conduit des politiques de libéralisation des services publics de réseau (communications, énergie, transports), avec l’ouverture progressive à la concurrence d’activités jusque-là organisée</w:t>
      </w:r>
      <w:r>
        <w:rPr>
          <w:rFonts w:ascii="Open Sans" w:hAnsi="Open Sans" w:cs="Open Sans" w:eastAsia="Open Sans"/>
          <w:color w:val="auto"/>
          <w:sz w:val="16"/>
        </w:rPr>
        <w:t xml:space="preserve">s en situation de monopole national ou territorial. </w:t>
      </w:r>
      <w:r>
        <w:rPr>
          <w:rFonts w:ascii="Open Sans" w:hAnsi="Open Sans" w:cs="Open Sans" w:eastAsia="Open Sans"/>
          <w:color w:val="auto"/>
          <w:sz w:val="16"/>
        </w:rPr>
        <w:t xml:space="preserve">Plus de trente ans après, les institutions européennes et nationales suivent la même orientation, avec les « paquets » législatifs énergie, transports et bientôt services postaux. Mais cela se fait sans évaluation des effets économiques, sociaux et sociéta</w:t>
      </w:r>
      <w:r>
        <w:rPr>
          <w:rFonts w:ascii="Open Sans" w:hAnsi="Open Sans" w:cs="Open Sans" w:eastAsia="Open Sans"/>
          <w:color w:val="auto"/>
          <w:sz w:val="16"/>
        </w:rPr>
        <w:t xml:space="preserve">ux de ces politiques. [...] </w:t>
      </w:r>
      <w:r>
        <w:rPr>
          <w:color w:val="auto"/>
          <w:sz w:val="16"/>
        </w:rPr>
      </w:r>
      <w:r>
        <w:rPr>
          <w:color w:val="auto"/>
          <w:sz w:val="16"/>
        </w:rPr>
      </w:r>
    </w:p>
    <w:p>
      <w:pPr>
        <w:contextualSpacing w:val="false"/>
        <w:ind w:left="0" w:right="0" w:firstLine="0"/>
        <w:jc w:val="both"/>
        <w:spacing w:lineRule="atLeast" w:line="282" w:after="0" w:before="0"/>
        <w:rPr>
          <w:rFonts w:ascii="Open Sans" w:hAnsi="Open Sans" w:cs="Open Sans" w:eastAsia="Open Sans"/>
          <w:color w:val="auto"/>
          <w:sz w:val="16"/>
          <w:highlight w:val="none"/>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highlight w:val="none"/>
        </w:rPr>
      </w:r>
      <w:r>
        <w:rPr>
          <w:rFonts w:ascii="Open Sans" w:hAnsi="Open Sans" w:cs="Open Sans" w:eastAsia="Open Sans"/>
          <w:color w:val="auto"/>
          <w:sz w:val="16"/>
          <w:highlight w:val="none"/>
        </w:rPr>
      </w:r>
    </w:p>
    <w:p>
      <w:pPr>
        <w:contextualSpacing w:val="false"/>
        <w:ind w:left="0" w:right="0" w:firstLine="0"/>
        <w:jc w:val="both"/>
        <w:spacing w:lineRule="atLeast" w:line="282" w:after="0" w:before="0"/>
        <w:rPr>
          <w:color w:val="auto"/>
          <w:sz w:val="16"/>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rPr>
        <w:t xml:space="preserve">Le premier constat met l’accent sur les responsabilités essentielles des Etats membres et de leurs gouvernements : ils négocient et adoptent les règles européennes, ils les transposent et les appliquent ensuite. La Commission européenne joue un rôle clé, c</w:t>
      </w:r>
      <w:r>
        <w:rPr>
          <w:rFonts w:ascii="Open Sans" w:hAnsi="Open Sans" w:cs="Open Sans" w:eastAsia="Open Sans"/>
          <w:color w:val="auto"/>
          <w:sz w:val="16"/>
        </w:rPr>
        <w:t xml:space="preserve">ompte tenu de son monopole de proposition législative mais, pour l’essentiel, elle ne décide pas et n’est pas le responsable en dernier ressort. </w:t>
      </w:r>
      <w:r>
        <w:rPr>
          <w:rFonts w:ascii="Open Sans" w:hAnsi="Open Sans" w:cs="Open Sans" w:eastAsia="Open Sans"/>
          <w:color w:val="auto"/>
          <w:sz w:val="16"/>
        </w:rPr>
        <w:t xml:space="preserve">La seconde caractéristique concerne la situation aujourd’hui très disparate qui existe dans les différents pays, après trente ans de « règles communes ». On voit cependant se dégager des tendances générales.</w:t>
      </w:r>
      <w:r>
        <w:rPr>
          <w:color w:val="auto"/>
          <w:sz w:val="16"/>
        </w:rPr>
      </w:r>
    </w:p>
    <w:p>
      <w:pPr>
        <w:contextualSpacing w:val="false"/>
        <w:ind w:left="0" w:right="0" w:firstLine="0"/>
        <w:jc w:val="both"/>
        <w:spacing w:lineRule="atLeast" w:line="282" w:after="0" w:before="0"/>
        <w:rPr>
          <w:rFonts w:ascii="Open Sans" w:hAnsi="Open Sans" w:cs="Open Sans" w:eastAsia="Open Sans"/>
          <w:color w:val="auto"/>
          <w:sz w:val="16"/>
          <w:highlight w:val="none"/>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rPr>
        <w:t xml:space="preserve">Si </w:t>
      </w:r>
      <w:r>
        <w:rPr>
          <w:rFonts w:ascii="Open Sans" w:hAnsi="Open Sans" w:cs="Open Sans" w:eastAsia="Open Sans"/>
          <w:color w:val="auto"/>
          <w:sz w:val="16"/>
          <w:highlight w:val="yellow"/>
        </w:rPr>
        <w:t xml:space="preserve">on introduit de la concurrence, celle-ci tend à être oligopolistique</w:t>
      </w:r>
      <w:r>
        <w:rPr>
          <w:rFonts w:ascii="Open Sans" w:hAnsi="Open Sans" w:cs="Open Sans" w:eastAsia="Open Sans"/>
          <w:color w:val="auto"/>
          <w:sz w:val="16"/>
        </w:rPr>
        <w:t xml:space="preserve"> : seul un petit nombre d’entreprises entrent en jeu, souvent à l’échelle européenne (le marché de l’électricité est ainsi dominé entre quatre acteurs), ce qui limite la concurrence et </w:t>
      </w:r>
      <w:r>
        <w:rPr>
          <w:rFonts w:ascii="Open Sans" w:hAnsi="Open Sans" w:cs="Open Sans" w:eastAsia="Open Sans"/>
          <w:color w:val="auto"/>
          <w:sz w:val="16"/>
        </w:rPr>
        <w:t xml:space="preserve">leur </w:t>
      </w:r>
      <w:r>
        <w:rPr>
          <w:rFonts w:ascii="Open Sans" w:hAnsi="Open Sans" w:cs="Open Sans" w:eastAsia="Open Sans"/>
          <w:color w:val="auto"/>
          <w:sz w:val="16"/>
          <w:highlight w:val="yellow"/>
        </w:rPr>
        <w:t xml:space="preserve">donne beaucoup de latitude pour fixer les prix ou la variété des services</w:t>
      </w:r>
      <w:r>
        <w:rPr>
          <w:rFonts w:ascii="Open Sans" w:hAnsi="Open Sans" w:cs="Open Sans" w:eastAsia="Open Sans"/>
          <w:color w:val="auto"/>
          <w:sz w:val="16"/>
        </w:rPr>
        <w:t xml:space="preserve">. On se retrouve ainsi avec les défauts du monopole... sans ses avantages [...]. La concurrence </w:t>
      </w:r>
      <w:r>
        <w:rPr>
          <w:rFonts w:ascii="Open Sans" w:hAnsi="Open Sans" w:cs="Open Sans" w:eastAsia="Open Sans"/>
          <w:color w:val="auto"/>
          <w:sz w:val="16"/>
          <w:highlight w:val="yellow"/>
        </w:rPr>
        <w:t xml:space="preserve">se développe surtout sur des nich</w:t>
      </w:r>
      <w:r>
        <w:rPr>
          <w:rFonts w:ascii="Open Sans" w:hAnsi="Open Sans" w:cs="Open Sans" w:eastAsia="Open Sans"/>
          <w:color w:val="auto"/>
          <w:sz w:val="16"/>
          <w:highlight w:val="yellow"/>
        </w:rPr>
        <w:t xml:space="preserve">es ou sur certains segments de marché </w:t>
      </w:r>
      <w:r>
        <w:rPr>
          <w:rFonts w:ascii="Open Sans" w:hAnsi="Open Sans" w:cs="Open Sans" w:eastAsia="Open Sans"/>
          <w:color w:val="auto"/>
          <w:sz w:val="16"/>
        </w:rPr>
        <w:t xml:space="preserve">(« écrémage »). Les statuts des opérateurs historiques, qui étaient presque partout de droit public, relèvent du droit commun. Les opérateurs tendent à développer des segmentations sociales et territoriales et à divers</w:t>
      </w:r>
      <w:r>
        <w:rPr>
          <w:rFonts w:ascii="Open Sans" w:hAnsi="Open Sans" w:cs="Open Sans" w:eastAsia="Open Sans"/>
          <w:color w:val="auto"/>
          <w:sz w:val="16"/>
        </w:rPr>
        <w:t xml:space="preserve">ifier leurs activités comme leurs terrains d’action, mettant en cause les principes antérieurs d’égalité de traitement ou d’universalité. </w:t>
      </w:r>
      <w:r>
        <w:rPr>
          <w:rFonts w:ascii="Open Sans" w:hAnsi="Open Sans" w:cs="Open Sans" w:eastAsia="Open Sans"/>
          <w:color w:val="auto"/>
          <w:sz w:val="16"/>
          <w:highlight w:val="yellow"/>
        </w:rPr>
        <w:t xml:space="preserve">La rentabilisation financière devient prioritaire au risque d’entraver la durabilité</w:t>
      </w:r>
      <w:r>
        <w:rPr>
          <w:rFonts w:ascii="Open Sans" w:hAnsi="Open Sans" w:cs="Open Sans" w:eastAsia="Open Sans"/>
          <w:color w:val="auto"/>
          <w:sz w:val="16"/>
        </w:rPr>
        <w:t xml:space="preserve">. On observe un recours à des </w:t>
      </w:r>
      <w:r>
        <w:rPr>
          <w:rFonts w:ascii="Open Sans" w:hAnsi="Open Sans" w:cs="Open Sans" w:eastAsia="Open Sans"/>
          <w:color w:val="auto"/>
          <w:sz w:val="16"/>
          <w:highlight w:val="yellow"/>
        </w:rPr>
        <w:t xml:space="preserve">exte</w:t>
      </w:r>
      <w:r>
        <w:rPr>
          <w:rFonts w:ascii="Open Sans" w:hAnsi="Open Sans" w:cs="Open Sans" w:eastAsia="Open Sans"/>
          <w:color w:val="auto"/>
          <w:sz w:val="16"/>
          <w:highlight w:val="yellow"/>
        </w:rPr>
        <w:t xml:space="preserve">rnalisations croissantes aux effets négatifs</w:t>
      </w:r>
      <w:r>
        <w:rPr>
          <w:rFonts w:ascii="Open Sans" w:hAnsi="Open Sans" w:cs="Open Sans" w:eastAsia="Open Sans"/>
          <w:color w:val="auto"/>
          <w:sz w:val="16"/>
        </w:rPr>
        <w:t xml:space="preserve"> sur la société. Enfin, dans le domaine des relations sociales, la tendance est à la </w:t>
      </w:r>
      <w:r>
        <w:rPr>
          <w:rFonts w:ascii="Open Sans" w:hAnsi="Open Sans" w:cs="Open Sans" w:eastAsia="Open Sans"/>
          <w:color w:val="auto"/>
          <w:sz w:val="16"/>
          <w:highlight w:val="yellow"/>
        </w:rPr>
        <w:t xml:space="preserve">précarisation des emplois</w:t>
      </w:r>
      <w:r>
        <w:rPr>
          <w:rFonts w:ascii="Open Sans" w:hAnsi="Open Sans" w:cs="Open Sans" w:eastAsia="Open Sans"/>
          <w:color w:val="auto"/>
          <w:sz w:val="16"/>
        </w:rPr>
        <w:t xml:space="preserve"> (emplois temporaires, mini-jobs, travail en statut d’indépendant ou sous-traité, salarisation et/ou f</w:t>
      </w:r>
      <w:r>
        <w:rPr>
          <w:rFonts w:ascii="Open Sans" w:hAnsi="Open Sans" w:cs="Open Sans" w:eastAsia="Open Sans"/>
          <w:color w:val="auto"/>
          <w:sz w:val="16"/>
        </w:rPr>
        <w:t xml:space="preserve">ormations internes réduites, reconversions professionnelles plus fréquentes... )  davantage qu’à une généralisation du dumping social.</w:t>
      </w:r>
      <w:r>
        <w:rPr>
          <w:color w:val="auto"/>
          <w:sz w:val="16"/>
        </w:rPr>
      </w:r>
    </w:p>
    <w:p>
      <w:pPr>
        <w:contextualSpacing w:val="false"/>
        <w:ind w:left="0" w:right="0" w:firstLine="0"/>
        <w:jc w:val="both"/>
        <w:spacing w:lineRule="atLeast" w:line="282" w:after="0" w:before="0"/>
        <w:rPr>
          <w:color w:val="auto"/>
          <w:sz w:val="16"/>
        </w:rPr>
        <w:pBdr>
          <w:left w:val="none" w:color="000000" w:sz="4" w:space="0"/>
          <w:top w:val="none" w:color="000000" w:sz="4" w:space="0"/>
          <w:right w:val="none" w:color="000000" w:sz="4" w:space="0"/>
          <w:bottom w:val="none" w:color="000000" w:sz="4" w:space="0"/>
        </w:pBdr>
        <w:suppressLineNumbers w:val="0"/>
      </w:pPr>
      <w:r>
        <w:rPr>
          <w:color w:val="auto"/>
          <w:sz w:val="16"/>
        </w:rPr>
      </w:r>
      <w:r>
        <w:rPr>
          <w:color w:val="auto"/>
          <w:sz w:val="16"/>
        </w:rPr>
      </w:r>
    </w:p>
    <w:p>
      <w:pPr>
        <w:contextualSpacing w:val="false"/>
        <w:ind w:left="0" w:right="0" w:firstLine="0"/>
        <w:jc w:val="both"/>
        <w:spacing w:lineRule="atLeast" w:line="282" w:after="0" w:before="0"/>
        <w:rPr>
          <w:color w:val="auto"/>
          <w:sz w:val="16"/>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rPr>
        <w:t xml:space="preserve">Le rapport suggère quelques pistes générales au niveau européen, mais les autorités nationales, régionales et locales doivent intervenir. Elles devraient organiser l’expression des besoins des utilisateur du service et de ses évolutions, de façon à </w:t>
      </w:r>
      <w:r>
        <w:rPr>
          <w:rFonts w:ascii="Open Sans" w:hAnsi="Open Sans" w:cs="Open Sans" w:eastAsia="Open Sans"/>
          <w:color w:val="auto"/>
          <w:sz w:val="16"/>
          <w:highlight w:val="green"/>
        </w:rPr>
        <w:t xml:space="preserve">pouvoir</w:t>
      </w:r>
      <w:r>
        <w:rPr>
          <w:rFonts w:ascii="Open Sans" w:hAnsi="Open Sans" w:cs="Open Sans" w:eastAsia="Open Sans"/>
          <w:color w:val="auto"/>
          <w:sz w:val="16"/>
          <w:highlight w:val="green"/>
        </w:rPr>
        <w:t xml:space="preserve"> clairement définir les objectifs et missions de chaque service qui fondent son caractère de service public ou de service d’intérêt général</w:t>
      </w:r>
      <w:r>
        <w:rPr>
          <w:rFonts w:ascii="Open Sans" w:hAnsi="Open Sans" w:cs="Open Sans" w:eastAsia="Open Sans"/>
          <w:color w:val="auto"/>
          <w:sz w:val="16"/>
        </w:rPr>
        <w:t xml:space="preserve">, les règles et normes particulières dont ils relèvent, les « obligations de service public » et/ou « obligations de </w:t>
      </w:r>
      <w:r>
        <w:rPr>
          <w:rFonts w:ascii="Open Sans" w:hAnsi="Open Sans" w:cs="Open Sans" w:eastAsia="Open Sans"/>
          <w:color w:val="auto"/>
          <w:sz w:val="16"/>
        </w:rPr>
        <w:t xml:space="preserve">service universel ». Elles peuvent également </w:t>
      </w:r>
      <w:r>
        <w:rPr>
          <w:rFonts w:ascii="Open Sans" w:hAnsi="Open Sans" w:cs="Open Sans" w:eastAsia="Open Sans"/>
          <w:color w:val="auto"/>
          <w:sz w:val="16"/>
          <w:highlight w:val="green"/>
        </w:rPr>
        <w:t xml:space="preserve">déterminer le territoire pertinent </w:t>
      </w:r>
      <w:r>
        <w:rPr>
          <w:rFonts w:ascii="Open Sans" w:hAnsi="Open Sans" w:cs="Open Sans" w:eastAsia="Open Sans"/>
          <w:color w:val="auto"/>
          <w:sz w:val="16"/>
        </w:rPr>
        <w:t xml:space="preserve">et le mode d’organisation de l’activité et du secteur concerné le plus adapté aux finalités retenues, droits exclusifs ou spéciaux, concurrence, en conjuguant les avantages res</w:t>
      </w:r>
      <w:r>
        <w:rPr>
          <w:rFonts w:ascii="Open Sans" w:hAnsi="Open Sans" w:cs="Open Sans" w:eastAsia="Open Sans"/>
          <w:color w:val="auto"/>
          <w:sz w:val="16"/>
        </w:rPr>
        <w:t xml:space="preserve">pectifs de la concurrence et de la coopération (« coopétition »). Elles peuvent intervenir sur le mode de financement de l’activité, de l’accès au service et de la compensation des obligations imposées aux opérateurs. [...]</w:t>
      </w:r>
      <w:r>
        <w:rPr>
          <w:color w:val="auto"/>
          <w:sz w:val="16"/>
        </w:rPr>
      </w:r>
    </w:p>
    <w:p>
      <w:pPr>
        <w:contextualSpacing w:val="false"/>
        <w:ind w:left="0" w:right="0" w:firstLine="0"/>
        <w:jc w:val="both"/>
        <w:spacing w:lineRule="atLeast" w:line="282" w:after="0" w:before="0"/>
        <w:rPr>
          <w:color w:val="auto"/>
          <w:sz w:val="16"/>
        </w:rPr>
        <w:pBdr>
          <w:left w:val="none" w:color="000000" w:sz="4" w:space="0"/>
          <w:top w:val="none" w:color="000000" w:sz="4" w:space="0"/>
          <w:right w:val="none" w:color="000000" w:sz="4" w:space="0"/>
          <w:bottom w:val="none" w:color="000000" w:sz="4" w:space="0"/>
        </w:pBdr>
        <w:suppressLineNumbers w:val="0"/>
      </w:pPr>
      <w:r>
        <w:rPr>
          <w:rFonts w:ascii="Open Sans" w:hAnsi="Open Sans" w:cs="Open Sans" w:eastAsia="Open Sans"/>
          <w:color w:val="auto"/>
          <w:sz w:val="16"/>
        </w:rPr>
        <w:t xml:space="preserve">Le bilan de la libéralisation des services publics européens ne jouent pas en sa faveur. Avant de poursuivre le mouvement, il est important d’évaluer les mesures passées. D’autre voies sont possibles qui laissent plus de place à un meilleur équilibre dans </w:t>
      </w:r>
      <w:r>
        <w:rPr>
          <w:rFonts w:ascii="Open Sans" w:hAnsi="Open Sans" w:cs="Open Sans" w:eastAsia="Open Sans"/>
          <w:color w:val="auto"/>
          <w:sz w:val="16"/>
        </w:rPr>
        <w:t xml:space="preserve">la définition et la mise en œuvre de la mise à disposition de services publics.</w:t>
      </w:r>
      <w:r>
        <w:rPr>
          <w:color w:val="auto"/>
          <w:sz w:val="16"/>
        </w:rPr>
      </w:r>
    </w:p>
    <w:p>
      <w:pPr>
        <w:contextualSpacing w:val="false"/>
        <w:jc w:val="right"/>
        <w:spacing w:lineRule="atLeast" w:line="283" w:after="0" w:before="0"/>
        <w:rPr>
          <w:b w:val="false"/>
          <w:color w:val="auto"/>
          <w:sz w:val="16"/>
          <w:highlight w:val="none"/>
        </w:rPr>
        <w:pBdr>
          <w:left w:val="none" w:color="000000" w:sz="4" w:space="0"/>
          <w:top w:val="none" w:color="000000" w:sz="4" w:space="0"/>
          <w:right w:val="none" w:color="000000" w:sz="4" w:space="0"/>
          <w:bottom w:val="none" w:color="000000" w:sz="4" w:space="0"/>
        </w:pBdr>
        <w:suppressLineNumbers w:val="0"/>
      </w:pPr>
      <w:r>
        <w:rPr>
          <w:b w:val="false"/>
          <w:i/>
          <w:color w:val="auto"/>
          <w:sz w:val="16"/>
          <w:highlight w:val="none"/>
        </w:rPr>
        <w:t xml:space="preserve">Source : </w:t>
      </w:r>
      <w:r>
        <w:rPr>
          <w:b w:val="false"/>
          <w:color w:val="auto"/>
          <w:sz w:val="16"/>
          <w:highlight w:val="none"/>
        </w:rPr>
        <w:t xml:space="preserve">Pierre Bauby, « Europe et services publics : un bilan des libéralisations », 2019</w:t>
      </w:r>
      <w:r>
        <w:rPr>
          <w:b w:val="false"/>
          <w:color w:val="auto"/>
          <w:sz w:val="16"/>
          <w:highlight w:val="none"/>
        </w:rPr>
      </w:r>
    </w:p>
    <w:p>
      <w:pPr>
        <w:contextualSpacing w:val="false"/>
        <w:jc w:val="both"/>
        <w:spacing w:lineRule="atLeast" w:line="283" w:after="0" w:before="0"/>
        <w:rPr>
          <w:b w:val="false"/>
          <w:sz w:val="16"/>
        </w:rPr>
        <w:pBdr>
          <w:left w:val="none" w:color="000000" w:sz="4" w:space="0"/>
          <w:top w:val="none" w:color="000000" w:sz="4" w:space="0"/>
          <w:right w:val="none" w:color="000000" w:sz="4" w:space="0"/>
          <w:bottom w:val="none" w:color="000000" w:sz="4" w:space="0"/>
        </w:pBdr>
        <w:suppressLineNumbers w:val="0"/>
      </w:pPr>
      <w:r>
        <w:rPr>
          <w:b w:val="false"/>
          <w:sz w:val="16"/>
          <w:highlight w:val="none"/>
        </w:rPr>
      </w:r>
      <w:r>
        <w:rPr>
          <w:b w:val="false"/>
          <w:sz w:val="16"/>
          <w:highlight w:val="none"/>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rPr>
        <w:t xml:space="preserve">ETAPE 2 : défendre un point de vue à l’oral : </w:t>
      </w:r>
      <w:r>
        <w:rPr>
          <w:b/>
          <w:sz w:val="20"/>
        </w:rPr>
        <w:t xml:space="preserve">/4 pts (3 pts fond ; 1 pt forme)</w:t>
      </w:r>
      <w:r>
        <w:rPr>
          <w:b/>
          <w:sz w:val="20"/>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r>
      <w:r>
        <w:rPr>
          <w:b/>
          <w:sz w:val="20"/>
          <w:highlight w:val="none"/>
        </w:rPr>
      </w:r>
    </w:p>
    <w:p>
      <w:pPr>
        <w:contextualSpacing w:val="false"/>
        <w:jc w:val="left"/>
        <w:spacing w:lineRule="atLeast" w:line="283" w:after="0" w:before="0"/>
        <w:rPr>
          <w:b/>
          <w:sz w:val="20"/>
        </w:rPr>
        <w:pBdr>
          <w:left w:val="none" w:color="000000" w:sz="4" w:space="0"/>
          <w:top w:val="none" w:color="000000" w:sz="4" w:space="0"/>
          <w:right w:val="none" w:color="000000" w:sz="4" w:space="0"/>
          <w:bottom w:val="none" w:color="000000" w:sz="4" w:space="0"/>
        </w:pBdr>
        <w:suppressLineNumbers w:val="0"/>
      </w:pPr>
      <w:r>
        <w:rPr>
          <w:b/>
          <w:sz w:val="20"/>
          <w:highlight w:val="none"/>
        </w:rPr>
        <w:t xml:space="preserve">Support : </w:t>
      </w:r>
      <w:r>
        <w:rPr>
          <w:b/>
          <w:sz w:val="20"/>
          <w:highlight w:val="cyan"/>
        </w:rPr>
        <w:t xml:space="preserve">PODCAST</w:t>
      </w:r>
      <w:r>
        <w:rPr>
          <w:b/>
          <w:sz w:val="20"/>
          <w:highlight w:val="none"/>
        </w:rPr>
        <w:t xml:space="preserve"> : FC, « le pourquoi du comment » : « pourquoi l’euro est-elle une monnaie incomplète ? » </w:t>
      </w:r>
      <w:r>
        <w:rPr>
          <w:b/>
          <w:sz w:val="20"/>
          <w:highlight w:val="none"/>
        </w:rPr>
      </w:r>
      <w:hyperlink r:id="rId10" w:tooltip="https://www.franceculture.fr/emissions/le-pourquoi-du-comment-economie-social/pourquoi-l-euro-est-il-une-monnaie-incomplete" w:history="1">
        <w:r>
          <w:rPr>
            <w:rStyle w:val="792"/>
            <w:b/>
            <w:sz w:val="20"/>
            <w:highlight w:val="none"/>
          </w:rPr>
          <w:t xml:space="preserve">https://www.franceculture.fr/emissions/le-pourquoi-du-comment-economie-social/pourquoi-l-euro-est-il-une-monnaie-incomplete</w:t>
        </w:r>
      </w:hyperlink>
      <w:r>
        <w:rPr>
          <w:b/>
          <w:sz w:val="20"/>
          <w:highlight w:val="none"/>
        </w:rPr>
        <w:t xml:space="preserve"> </w:t>
      </w:r>
      <w:r>
        <w:rPr>
          <w:b/>
          <w:sz w:val="20"/>
          <w:highlight w:val="none"/>
        </w:rPr>
      </w:r>
      <w:r>
        <w:rPr>
          <w:b/>
          <w:sz w:val="20"/>
          <w:highlight w:val="none"/>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r>
      <w:r>
        <w:rPr>
          <w:b/>
          <w:sz w:val="20"/>
          <w:highlight w:val="none"/>
        </w:rPr>
      </w:r>
    </w:p>
    <w:p>
      <w:pPr>
        <w:contextualSpacing w:val="false"/>
        <w:jc w:val="left"/>
        <w:spacing w:lineRule="atLeast" w:line="283" w:after="0" w:before="0"/>
        <w:rPr>
          <w:b w:val="false"/>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t xml:space="preserve">Consigne : </w:t>
      </w:r>
      <w:r>
        <w:rPr>
          <w:b w:val="false"/>
          <w:sz w:val="20"/>
          <w:highlight w:val="none"/>
        </w:rPr>
        <w:t xml:space="preserve">sur le modèle du podcast précédent réalisez une capsule audio répondant à la question de départ : « faut-il libéraliser les services publics ? »</w:t>
      </w:r>
      <w:r>
        <w:rPr>
          <w:b w:val="false"/>
          <w:sz w:val="20"/>
          <w:highlight w:val="none"/>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r>
      <w:r>
        <w:rPr>
          <w:b/>
          <w:sz w:val="20"/>
          <w:highlight w:val="none"/>
        </w:rPr>
      </w:r>
    </w:p>
    <w:p>
      <w:pPr>
        <w:contextualSpacing w:val="false"/>
        <w:jc w:val="left"/>
        <w:spacing w:lineRule="atLeast" w:line="283" w:after="0" w:before="0"/>
        <w:rPr>
          <w:b w:val="false"/>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t xml:space="preserve">Modalité : </w:t>
      </w:r>
      <w:r>
        <w:rPr>
          <w:b w:val="false"/>
          <w:sz w:val="20"/>
          <w:highlight w:val="none"/>
        </w:rPr>
        <w:t xml:space="preserve">travaux en groupe : 2 + 2 pour les arguments</w:t>
      </w:r>
      <w:r>
        <w:rPr>
          <w:b w:val="false"/>
          <w:sz w:val="20"/>
          <w:highlight w:val="none"/>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r>
      <w:r>
        <w:rPr>
          <w:b/>
          <w:sz w:val="20"/>
          <w:highlight w:val="none"/>
        </w:rPr>
      </w:r>
    </w:p>
    <w:p>
      <w:pPr>
        <w:contextualSpacing w:val="false"/>
        <w:jc w:val="left"/>
        <w:spacing w:lineRule="atLeast" w:line="283" w:after="0" w:before="0"/>
        <w:rPr>
          <w:b/>
          <w:sz w:val="20"/>
          <w:highlight w:val="none"/>
        </w:rPr>
        <w:pBdr>
          <w:left w:val="none" w:color="000000" w:sz="4" w:space="0"/>
          <w:top w:val="none" w:color="000000" w:sz="4" w:space="0"/>
          <w:right w:val="none" w:color="000000" w:sz="4" w:space="0"/>
          <w:bottom w:val="none" w:color="000000" w:sz="4" w:space="0"/>
        </w:pBdr>
        <w:suppressLineNumbers w:val="0"/>
      </w:pPr>
      <w:r>
        <w:rPr>
          <w:b/>
          <w:sz w:val="20"/>
          <w:highlight w:val="none"/>
        </w:rPr>
      </w:r>
      <w:r>
        <w:rPr>
          <w:b/>
          <w:sz w:val="20"/>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2">
    <w:multiLevelType w:val="hybridMultilevel"/>
    <w:lvl w:ilvl="0">
      <w:start w:val="1"/>
      <w:numFmt w:val="bullet"/>
      <w:isLgl w:val="false"/>
      <w:suff w:val="tab"/>
      <w:lvlText w:val="–"/>
      <w:lvlJc w:val="left"/>
      <w:pPr>
        <w:ind w:left="709" w:hanging="360"/>
      </w:pPr>
      <w:rPr>
        <w:rFonts w:ascii="Arial" w:hAnsi="Arial" w:cs="Arial" w:eastAsia="Arial" w:hint="default"/>
        <w:b/>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qFormat/>
    <w:uiPriority w:val="9"/>
    <w:rPr>
      <w:rFonts w:ascii="Arial" w:hAnsi="Arial" w:cs="Arial" w:eastAsia="Arial"/>
      <w:sz w:val="40"/>
      <w:szCs w:val="40"/>
    </w:rPr>
    <w:pPr>
      <w:keepLines/>
      <w:keepNext/>
      <w:spacing w:after="200" w:before="480"/>
      <w:outlineLvl w:val="0"/>
    </w:pPr>
  </w:style>
  <w:style w:type="character" w:styleId="635">
    <w:name w:val="Heading 1 Char"/>
    <w:link w:val="634"/>
    <w:uiPriority w:val="9"/>
    <w:rPr>
      <w:rFonts w:ascii="Arial" w:hAnsi="Arial" w:cs="Arial" w:eastAsia="Arial"/>
      <w:sz w:val="40"/>
      <w:szCs w:val="40"/>
    </w:rPr>
  </w:style>
  <w:style w:type="paragraph" w:styleId="636">
    <w:name w:val="Heading 2"/>
    <w:basedOn w:val="810"/>
    <w:next w:val="810"/>
    <w:link w:val="637"/>
    <w:qFormat/>
    <w:uiPriority w:val="9"/>
    <w:unhideWhenUsed/>
    <w:rPr>
      <w:rFonts w:ascii="Arial" w:hAnsi="Arial" w:cs="Arial" w:eastAsia="Arial"/>
      <w:sz w:val="34"/>
    </w:rPr>
    <w:pPr>
      <w:keepLines/>
      <w:keepNext/>
      <w:spacing w:after="200" w:before="360"/>
      <w:outlineLvl w:val="1"/>
    </w:pPr>
  </w:style>
  <w:style w:type="character" w:styleId="637">
    <w:name w:val="Heading 2 Char"/>
    <w:link w:val="636"/>
    <w:uiPriority w:val="9"/>
    <w:rPr>
      <w:rFonts w:ascii="Arial" w:hAnsi="Arial" w:cs="Arial" w:eastAsia="Arial"/>
      <w:sz w:val="34"/>
    </w:rPr>
  </w:style>
  <w:style w:type="paragraph" w:styleId="638">
    <w:name w:val="Heading 3"/>
    <w:basedOn w:val="810"/>
    <w:next w:val="810"/>
    <w:link w:val="639"/>
    <w:qFormat/>
    <w:uiPriority w:val="9"/>
    <w:unhideWhenUsed/>
    <w:rPr>
      <w:rFonts w:ascii="Arial" w:hAnsi="Arial" w:cs="Arial" w:eastAsia="Arial"/>
      <w:sz w:val="30"/>
      <w:szCs w:val="30"/>
    </w:rPr>
    <w:pPr>
      <w:keepLines/>
      <w:keepNext/>
      <w:spacing w:after="200" w:before="320"/>
      <w:outlineLvl w:val="2"/>
    </w:p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qFormat/>
    <w:uiPriority w:val="9"/>
    <w:unhideWhenUsed/>
    <w:rPr>
      <w:rFonts w:ascii="Arial" w:hAnsi="Arial" w:cs="Arial" w:eastAsia="Arial"/>
      <w:b/>
      <w:bCs/>
      <w:sz w:val="26"/>
      <w:szCs w:val="26"/>
    </w:rPr>
    <w:pPr>
      <w:keepLines/>
      <w:keepNext/>
      <w:spacing w:after="200" w:before="320"/>
      <w:outlineLvl w:val="3"/>
    </w:p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qFormat/>
    <w:uiPriority w:val="9"/>
    <w:unhideWhenUsed/>
    <w:rPr>
      <w:rFonts w:ascii="Arial" w:hAnsi="Arial" w:cs="Arial" w:eastAsia="Arial"/>
      <w:b/>
      <w:bCs/>
      <w:sz w:val="24"/>
      <w:szCs w:val="24"/>
    </w:rPr>
    <w:pPr>
      <w:keepLines/>
      <w:keepNext/>
      <w:spacing w:after="200" w:before="320"/>
      <w:outlineLvl w:val="4"/>
    </w:p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qFormat/>
    <w:uiPriority w:val="9"/>
    <w:unhideWhenUsed/>
    <w:rPr>
      <w:rFonts w:ascii="Arial" w:hAnsi="Arial" w:cs="Arial" w:eastAsia="Arial"/>
      <w:b/>
      <w:bCs/>
      <w:sz w:val="22"/>
      <w:szCs w:val="22"/>
    </w:rPr>
    <w:pPr>
      <w:keepLines/>
      <w:keepNext/>
      <w:spacing w:after="200" w:before="320"/>
      <w:outlineLvl w:val="5"/>
    </w:p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qFormat/>
    <w:uiPriority w:val="9"/>
    <w:unhideWhenUsed/>
    <w:rPr>
      <w:rFonts w:ascii="Arial" w:hAnsi="Arial" w:cs="Arial" w:eastAsia="Arial"/>
      <w:b/>
      <w:bCs/>
      <w:i/>
      <w:iCs/>
      <w:sz w:val="22"/>
      <w:szCs w:val="22"/>
    </w:rPr>
    <w:pPr>
      <w:keepLines/>
      <w:keepNext/>
      <w:spacing w:after="200" w:before="320"/>
      <w:outlineLvl w:val="6"/>
    </w:p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qFormat/>
    <w:uiPriority w:val="9"/>
    <w:unhideWhenUsed/>
    <w:rPr>
      <w:rFonts w:ascii="Arial" w:hAnsi="Arial" w:cs="Arial" w:eastAsia="Arial"/>
      <w:i/>
      <w:iCs/>
      <w:sz w:val="22"/>
      <w:szCs w:val="22"/>
    </w:rPr>
    <w:pPr>
      <w:keepLines/>
      <w:keepNext/>
      <w:spacing w:after="200" w:before="320"/>
      <w:outlineLvl w:val="7"/>
    </w:p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qFormat/>
    <w:uiPriority w:val="9"/>
    <w:unhideWhenUsed/>
    <w:rPr>
      <w:rFonts w:ascii="Arial" w:hAnsi="Arial" w:cs="Arial" w:eastAsia="Arial"/>
      <w:i/>
      <w:iCs/>
      <w:sz w:val="21"/>
      <w:szCs w:val="21"/>
    </w:rPr>
    <w:pPr>
      <w:keepLines/>
      <w:keepNext/>
      <w:spacing w:after="200" w:before="320"/>
      <w:outlineLvl w:val="8"/>
    </w:p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qFormat/>
    <w:uiPriority w:val="10"/>
    <w:rPr>
      <w:sz w:val="48"/>
      <w:szCs w:val="48"/>
    </w:rPr>
    <w:pPr>
      <w:contextualSpacing w:val="true"/>
      <w:spacing w:after="200" w:before="300"/>
    </w:pPr>
  </w:style>
  <w:style w:type="character" w:styleId="653">
    <w:name w:val="Title Char"/>
    <w:link w:val="652"/>
    <w:uiPriority w:val="10"/>
    <w:rPr>
      <w:sz w:val="48"/>
      <w:szCs w:val="48"/>
    </w:rPr>
  </w:style>
  <w:style w:type="paragraph" w:styleId="654">
    <w:name w:val="Subtitle"/>
    <w:basedOn w:val="810"/>
    <w:next w:val="810"/>
    <w:link w:val="655"/>
    <w:qFormat/>
    <w:uiPriority w:val="11"/>
    <w:rPr>
      <w:sz w:val="24"/>
      <w:szCs w:val="24"/>
    </w:rPr>
    <w:pPr>
      <w:spacing w:after="200" w:before="200"/>
    </w:pPr>
  </w:style>
  <w:style w:type="character" w:styleId="655">
    <w:name w:val="Subtitle Char"/>
    <w:link w:val="654"/>
    <w:uiPriority w:val="11"/>
    <w:rPr>
      <w:sz w:val="24"/>
      <w:szCs w:val="24"/>
    </w:rPr>
  </w:style>
  <w:style w:type="paragraph" w:styleId="656">
    <w:name w:val="Quote"/>
    <w:basedOn w:val="810"/>
    <w:next w:val="810"/>
    <w:link w:val="657"/>
    <w:qFormat/>
    <w:uiPriority w:val="29"/>
    <w:rPr>
      <w:i/>
    </w:rPr>
    <w:pPr>
      <w:ind w:left="720" w:right="720"/>
    </w:pPr>
  </w:style>
  <w:style w:type="character" w:styleId="657">
    <w:name w:val="Quote Char"/>
    <w:link w:val="656"/>
    <w:uiPriority w:val="29"/>
    <w:rPr>
      <w:i/>
    </w:rPr>
  </w:style>
  <w:style w:type="paragraph" w:styleId="658">
    <w:name w:val="Intense Quote"/>
    <w:basedOn w:val="810"/>
    <w:next w:val="810"/>
    <w:link w:val="65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59">
    <w:name w:val="Intense Quote Char"/>
    <w:link w:val="658"/>
    <w:uiPriority w:val="30"/>
    <w:rPr>
      <w:i/>
    </w:rPr>
  </w:style>
  <w:style w:type="paragraph" w:styleId="660">
    <w:name w:val="Header"/>
    <w:basedOn w:val="810"/>
    <w:link w:val="661"/>
    <w:uiPriority w:val="99"/>
    <w:unhideWhenUsed/>
    <w:pPr>
      <w:spacing w:lineRule="auto" w:line="240" w:after="0"/>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lineRule="auto" w:line="240" w:after="0"/>
      <w:tabs>
        <w:tab w:val="center" w:pos="7143" w:leader="none"/>
        <w:tab w:val="right" w:pos="14287" w:leader="none"/>
      </w:tabs>
    </w:pPr>
  </w:style>
  <w:style w:type="character" w:styleId="663">
    <w:name w:val="Footer Char"/>
    <w:link w:val="662"/>
    <w:uiPriority w:val="99"/>
  </w:style>
  <w:style w:type="paragraph" w:styleId="664">
    <w:name w:val="Caption"/>
    <w:basedOn w:val="810"/>
    <w:next w:val="810"/>
    <w:qFormat/>
    <w:uiPriority w:val="35"/>
    <w:semiHidden/>
    <w:unhideWhenUsed/>
    <w:rPr>
      <w:b/>
      <w:bCs/>
      <w:color w:val="4F81BD" w:themeColor="accent1"/>
      <w:sz w:val="18"/>
      <w:szCs w:val="18"/>
    </w:rPr>
    <w:pPr>
      <w:spacing w:lineRule="auto" w:line="276"/>
    </w:pPr>
  </w:style>
  <w:style w:type="character" w:styleId="665">
    <w:name w:val="Caption Char"/>
    <w:basedOn w:val="664"/>
    <w:link w:val="662"/>
    <w:uiPriority w:val="99"/>
  </w:style>
  <w:style w:type="table" w:styleId="666">
    <w:name w:val="Table Grid"/>
    <w:basedOn w:val="81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7">
    <w:name w:val="Table Grid Light"/>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68">
    <w:name w:val="Plain Table 1"/>
    <w:basedOn w:val="81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73">
    <w:name w:val="Grid Table 1 Light"/>
    <w:basedOn w:val="81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0">
    <w:name w:val="Grid Table 2"/>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1">
    <w:name w:val="Grid Table 2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2">
    <w:name w:val="Grid Table 2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3">
    <w:name w:val="Grid Table 2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4">
    <w:name w:val="Grid Table 2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5">
    <w:name w:val="Grid Table 2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86">
    <w:name w:val="Grid Table 2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87">
    <w:name w:val="Grid Table 3"/>
    <w:basedOn w:val="81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8">
    <w:name w:val="Grid Table 3 - Accent 1"/>
    <w:basedOn w:val="81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9">
    <w:name w:val="Grid Table 3 - Accent 2"/>
    <w:basedOn w:val="81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0">
    <w:name w:val="Grid Table 3 - Accent 3"/>
    <w:basedOn w:val="81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1">
    <w:name w:val="Grid Table 3 - Accent 4"/>
    <w:basedOn w:val="81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5"/>
    <w:basedOn w:val="81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6"/>
    <w:basedOn w:val="81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4">
    <w:name w:val="Grid Table 4"/>
    <w:basedOn w:val="81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5">
    <w:name w:val="Grid Table 4 - Accent 1"/>
    <w:basedOn w:val="81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6">
    <w:name w:val="Grid Table 4 - Accent 2"/>
    <w:basedOn w:val="81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7">
    <w:name w:val="Grid Table 4 - Accent 3"/>
    <w:basedOn w:val="81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98">
    <w:name w:val="Grid Table 4 - Accent 4"/>
    <w:basedOn w:val="81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99">
    <w:name w:val="Grid Table 4 - Accent 5"/>
    <w:basedOn w:val="81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0">
    <w:name w:val="Grid Table 4 - Accent 6"/>
    <w:basedOn w:val="81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1">
    <w:name w:val="Grid Table 5 Dark"/>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02">
    <w:name w:val="Grid Table 5 Dark- Accent 1"/>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03">
    <w:name w:val="Grid Table 5 Dark - Accent 2"/>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04">
    <w:name w:val="Grid Table 5 Dark - Accent 3"/>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05">
    <w:name w:val="Grid Table 5 Dark- Accent 4"/>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06">
    <w:name w:val="Grid Table 5 Dark - Accent 5"/>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07">
    <w:name w:val="Grid Table 5 Dark - Accent 6"/>
    <w:basedOn w:val="81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08">
    <w:name w:val="Grid Table 6 Colorful"/>
    <w:basedOn w:val="81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16">
    <w:name w:val="Grid Table 7 Colorful - Accent 1"/>
    <w:basedOn w:val="81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17">
    <w:name w:val="Grid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18">
    <w:name w:val="Grid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19">
    <w:name w:val="Grid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20">
    <w:name w:val="Grid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21">
    <w:name w:val="Grid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22">
    <w:name w:val="List Table 1 Light"/>
    <w:basedOn w:val="811"/>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3">
    <w:name w:val="List Table 1 Light - Accent 1"/>
    <w:basedOn w:val="811"/>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4">
    <w:name w:val="List Table 1 Light - Accent 2"/>
    <w:basedOn w:val="811"/>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5">
    <w:name w:val="List Table 1 Light - Accent 3"/>
    <w:basedOn w:val="811"/>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6">
    <w:name w:val="List Table 1 Light - Accent 4"/>
    <w:basedOn w:val="811"/>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7">
    <w:name w:val="List Table 1 Light - Accent 5"/>
    <w:basedOn w:val="811"/>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28">
    <w:name w:val="List Table 1 Light - Accent 6"/>
    <w:basedOn w:val="811"/>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29">
    <w:name w:val="List Table 2"/>
    <w:basedOn w:val="81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0">
    <w:name w:val="List Table 2 - Accent 1"/>
    <w:basedOn w:val="81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1">
    <w:name w:val="List Table 2 - Accent 2"/>
    <w:basedOn w:val="81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2">
    <w:name w:val="List Table 2 - Accent 3"/>
    <w:basedOn w:val="81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3">
    <w:name w:val="List Table 2 - Accent 4"/>
    <w:basedOn w:val="81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4">
    <w:name w:val="List Table 2 - Accent 5"/>
    <w:basedOn w:val="81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5">
    <w:name w:val="List Table 2 - Accent 6"/>
    <w:basedOn w:val="81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6">
    <w:name w:val="List Table 3"/>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743">
    <w:name w:val="List Table 4"/>
    <w:basedOn w:val="81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750">
    <w:name w:val="List Table 5 Dark"/>
    <w:basedOn w:val="81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58">
    <w:name w:val="List Table 6 Colorful - Accent 1"/>
    <w:basedOn w:val="81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59">
    <w:name w:val="List Table 6 Colorful - Accent 2"/>
    <w:basedOn w:val="81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60">
    <w:name w:val="List Table 6 Colorful - Accent 3"/>
    <w:basedOn w:val="81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61">
    <w:name w:val="List Table 6 Colorful - Accent 4"/>
    <w:basedOn w:val="81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62">
    <w:name w:val="List Table 6 Colorful - Accent 5"/>
    <w:basedOn w:val="81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63">
    <w:name w:val="List Table 6 Colorful - Accent 6"/>
    <w:basedOn w:val="81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64">
    <w:name w:val="List Table 7 Colorful"/>
    <w:basedOn w:val="81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72">
    <w:name w:val="Lined - Accent 1"/>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73">
    <w:name w:val="Lined - Accent 2"/>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74">
    <w:name w:val="Lined - Accent 3"/>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75">
    <w:name w:val="Lined - Accent 4"/>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76">
    <w:name w:val="Lined - Accent 5"/>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77">
    <w:name w:val="Lined - Accent 6"/>
    <w:basedOn w:val="81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78">
    <w:name w:val="Bordered &amp; Lined - Accent"/>
    <w:basedOn w:val="81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79">
    <w:name w:val="Bordered &amp; Lined - Accent 1"/>
    <w:basedOn w:val="81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0">
    <w:name w:val="Bordered &amp; Lined - Accent 2"/>
    <w:basedOn w:val="81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1">
    <w:name w:val="Bordered &amp; Lined - Accent 3"/>
    <w:basedOn w:val="81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2">
    <w:name w:val="Bordered &amp; Lined - Accent 4"/>
    <w:basedOn w:val="81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3">
    <w:name w:val="Bordered &amp; Lined - Accent 5"/>
    <w:basedOn w:val="81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84">
    <w:name w:val="Bordered &amp; Lined - Accent 6"/>
    <w:basedOn w:val="81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85">
    <w:name w:val="Bordered"/>
    <w:basedOn w:val="81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6">
    <w:name w:val="Bordered - Accent 1"/>
    <w:basedOn w:val="81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7">
    <w:name w:val="Bordered - Accent 2"/>
    <w:basedOn w:val="81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88">
    <w:name w:val="Bordered - Accent 3"/>
    <w:basedOn w:val="81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89">
    <w:name w:val="Bordered - Accent 4"/>
    <w:basedOn w:val="81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0">
    <w:name w:val="Bordered - Accent 5"/>
    <w:basedOn w:val="81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1">
    <w:name w:val="Bordered - Accent 6"/>
    <w:basedOn w:val="81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rPr>
      <w:sz w:val="18"/>
    </w:rPr>
    <w:pPr>
      <w:spacing w:lineRule="auto" w:line="240" w:after="40"/>
    </w:p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rPr>
      <w:sz w:val="20"/>
    </w:rPr>
    <w:pPr>
      <w:spacing w:lineRule="auto" w:line="240" w:after="0"/>
    </w:p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qFormat/>
    <w:uiPriority w:val="1"/>
    <w:pPr>
      <w:spacing w:lineRule="auto" w:line="240" w:after="0"/>
    </w:pPr>
  </w:style>
  <w:style w:type="paragraph" w:styleId="814">
    <w:name w:val="List Paragraph"/>
    <w:basedOn w:val="810"/>
    <w:qFormat/>
    <w:uiPriority w:val="34"/>
    <w:pPr>
      <w:contextualSpacing w:val="true"/>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www.franceculture.fr/emissions/le-pourquoi-du-comment-economie-social/pourquoi-l-euro-est-il-une-monnaie-incomplet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Biechlin Vincent</cp:lastModifiedBy>
  <cp:revision>2</cp:revision>
  <dcterms:modified xsi:type="dcterms:W3CDTF">2021-10-22T14:18:29Z</dcterms:modified>
</cp:coreProperties>
</file>