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hd w:val="clear" w:color="auto" w:fill="BFBFBF" w:themeFill="background1" w:themeFillShade="BF"/>
        <w:rPr>
          <w:b/>
          <w:sz w:val="28"/>
        </w:rPr>
        <w:pBdr>
          <w:left w:val="single" w:sz="4" w:space="4" w:color="auto"/>
          <w:top w:val="single" w:sz="4" w:space="1" w:color="auto"/>
          <w:right w:val="single" w:sz="4" w:space="4" w:color="auto"/>
          <w:bottom w:val="single" w:sz="4" w:space="1" w:color="auto"/>
        </w:pBdr>
      </w:pPr>
      <w:r>
        <w:rPr>
          <w:b/>
          <w:sz w:val="28"/>
        </w:rPr>
        <w:t xml:space="preserve">TraAm</w:t>
      </w:r>
      <w:r>
        <w:rPr>
          <w:b/>
          <w:sz w:val="28"/>
        </w:rPr>
        <w:t xml:space="preserve"> – Pratique de l’</w:t>
      </w:r>
      <w:r>
        <w:rPr>
          <w:b/>
          <w:sz w:val="28"/>
        </w:rPr>
        <w:t xml:space="preserve">oral</w:t>
      </w:r>
      <w:r/>
    </w:p>
    <w:p>
      <w:pPr>
        <w:jc w:val="both"/>
      </w:pPr>
      <w:r/>
      <w:r/>
    </w:p>
    <w:p>
      <w:pPr>
        <w:jc w:val="both"/>
      </w:pPr>
      <w:r/>
      <w:r/>
    </w:p>
    <w:p>
      <w:pPr>
        <w:jc w:val="both"/>
        <w:rPr>
          <w:b/>
        </w:rPr>
        <w:pBdr>
          <w:left w:val="single" w:sz="4" w:space="4" w:color="auto"/>
          <w:top w:val="single" w:sz="4" w:space="1" w:color="auto"/>
          <w:right w:val="single" w:sz="4" w:space="4" w:color="auto"/>
          <w:bottom w:val="single" w:sz="4" w:space="1" w:color="auto"/>
        </w:pBdr>
      </w:pPr>
      <w:r>
        <w:rPr>
          <w:b/>
        </w:rPr>
        <w:t xml:space="preserve">Discipline/matière - Niveau</w:t>
      </w:r>
      <w:r/>
    </w:p>
    <w:p>
      <w:pPr>
        <w:jc w:val="both"/>
      </w:pPr>
      <w:r/>
      <w:r/>
    </w:p>
    <w:p>
      <w:pPr>
        <w:jc w:val="center"/>
        <w:rPr>
          <w:b/>
        </w:rPr>
      </w:pPr>
      <w:r>
        <w:rPr>
          <w:b/>
        </w:rPr>
        <w:t xml:space="preserve">Enseignement moral et civique – Classe de terminale générale</w:t>
      </w:r>
      <w:r/>
    </w:p>
    <w:p>
      <w:pPr>
        <w:jc w:val="both"/>
      </w:pPr>
      <w:r/>
      <w:r/>
    </w:p>
    <w:p>
      <w:pPr>
        <w:jc w:val="both"/>
      </w:pPr>
      <w:r/>
      <w:r/>
    </w:p>
    <w:p>
      <w:pPr>
        <w:jc w:val="both"/>
        <w:rPr>
          <w:b/>
        </w:rPr>
        <w:pBdr>
          <w:left w:val="single" w:sz="4" w:space="0" w:color="auto"/>
          <w:top w:val="single" w:sz="4" w:space="1" w:color="auto"/>
          <w:right w:val="single" w:sz="4" w:space="4" w:color="auto"/>
          <w:bottom w:val="single" w:sz="4" w:space="1" w:color="auto"/>
        </w:pBdr>
      </w:pPr>
      <w:r>
        <w:rPr>
          <w:b/>
        </w:rPr>
        <w:t xml:space="preserve">Programme (BO)</w:t>
      </w:r>
      <w:r/>
    </w:p>
    <w:p>
      <w:pPr>
        <w:jc w:val="both"/>
      </w:pPr>
      <w:r/>
      <w:r/>
    </w:p>
    <w:p>
      <w:pPr>
        <w:jc w:val="both"/>
      </w:pPr>
      <w:r>
        <w:rPr>
          <w:b/>
        </w:rPr>
        <w:t xml:space="preserve">Axe 2</w:t>
      </w:r>
      <w:r>
        <w:t xml:space="preserve"> : Repenser et faire vivre la démocratie </w:t>
      </w:r>
      <w:r/>
    </w:p>
    <w:p>
      <w:pPr>
        <w:jc w:val="both"/>
      </w:pPr>
      <w:r>
        <w:t xml:space="preserve">Questionnement : comment construire l’avenir de la démocratie dans un monde d’incertitudes ? </w:t>
      </w:r>
      <w:r/>
    </w:p>
    <w:p>
      <w:pPr>
        <w:jc w:val="both"/>
      </w:pPr>
      <w:r>
        <w:t xml:space="preserve">Les transformations contemporaines de la démocratie peuvent être envisagées à travers l’étude d’au moins deux domaines parmi les domaines suivants : </w:t>
      </w:r>
      <w:r/>
    </w:p>
    <w:p>
      <w:pPr>
        <w:jc w:val="both"/>
        <w:rPr>
          <w:b/>
        </w:rPr>
      </w:pPr>
      <w:r>
        <w:rPr>
          <w:rFonts w:ascii="Symbol" w:hAnsi="Symbol" w:cs="Symbol" w:eastAsia="Symbol"/>
        </w:rPr>
        <w:t xml:space="preserve">-</w:t>
      </w:r>
      <w:r>
        <w:t xml:space="preserve"> </w:t>
      </w:r>
      <w:r>
        <w:rPr>
          <w:b/>
        </w:rPr>
        <w:t xml:space="preserve">Les conditions du débat démocratique: médias, réseaux sociaux, information, éducation, éthique de vérité. </w:t>
      </w:r>
      <w:r/>
    </w:p>
    <w:p>
      <w:pPr>
        <w:jc w:val="both"/>
      </w:pPr>
      <w:r>
        <w:rPr>
          <w:rFonts w:ascii="Symbol" w:hAnsi="Symbol" w:cs="Symbol" w:eastAsia="Symbol"/>
        </w:rPr>
        <w:t xml:space="preserve">-</w:t>
      </w:r>
      <w:r>
        <w:t xml:space="preserve"> Démocratie, exempl</w:t>
      </w:r>
      <w:r>
        <w:t xml:space="preserve">arité et transparence : les politiques de lutte contre la corruption ; les mesures concernant l’exigence de transparence financière des acteurs politiques et le financement des campagnes électorales ; les mesures visant la moralisation de la vie publique. </w:t>
      </w:r>
      <w:r/>
    </w:p>
    <w:p>
      <w:pPr>
        <w:jc w:val="both"/>
      </w:pPr>
      <w:r>
        <w:rPr>
          <w:rFonts w:ascii="Symbol" w:hAnsi="Symbol" w:cs="Symbol" w:eastAsia="Symbol"/>
        </w:rPr>
        <w:t xml:space="preserve">-</w:t>
      </w:r>
      <w:r>
        <w:t xml:space="preserve"> Le citoyen et la politique sociale : le droit du travail, la représentation des salariés, le dialogue social. </w:t>
      </w:r>
      <w:r/>
    </w:p>
    <w:p>
      <w:pPr>
        <w:jc w:val="both"/>
      </w:pPr>
      <w:r>
        <w:rPr>
          <w:rFonts w:ascii="Symbol" w:hAnsi="Symbol" w:cs="Symbol" w:eastAsia="Symbol"/>
        </w:rPr>
        <w:t xml:space="preserve">-</w:t>
      </w:r>
      <w:r>
        <w:t xml:space="preserve"> Les formes et les domaines de l’engagement : politique, associatif et syndical ; social, écologique, humanitaire, culturel... </w:t>
      </w:r>
      <w:r/>
    </w:p>
    <w:p>
      <w:pPr>
        <w:jc w:val="both"/>
      </w:pPr>
      <w:r>
        <w:rPr>
          <w:rFonts w:ascii="Symbol" w:hAnsi="Symbol" w:cs="Symbol" w:eastAsia="Symbol"/>
        </w:rPr>
        <w:t xml:space="preserve">-</w:t>
      </w:r>
      <w:r>
        <w:t xml:space="preserve"> Les nouvelles aspirations démocratiques : démocraties délibérative et participative ; représentation et / ou démocratie directe ; les nouvelles formes de mouvements sociaux. </w:t>
      </w:r>
      <w:r/>
    </w:p>
    <w:p>
      <w:pPr>
        <w:jc w:val="both"/>
      </w:pPr>
      <w:r>
        <w:rPr>
          <w:rFonts w:ascii="Symbol" w:hAnsi="Symbol" w:cs="Symbol" w:eastAsia="Symbol"/>
        </w:rPr>
        <w:t xml:space="preserve">-</w:t>
      </w:r>
      <w:r>
        <w:t xml:space="preserve"> Conscience démocratique et relations internationales : la défense des droits de l’Homme ; le développement du droit pénal international (le droit applicable aux génocides, aux crimes de masse et aux violences extrêmes). </w:t>
      </w:r>
      <w:r/>
    </w:p>
    <w:p>
      <w:pPr>
        <w:jc w:val="both"/>
      </w:pPr>
      <w:r>
        <w:t xml:space="preserve">Notions à acquérir / à mobiliser : </w:t>
      </w:r>
      <w:r/>
    </w:p>
    <w:p>
      <w:pPr>
        <w:numPr>
          <w:ilvl w:val="1"/>
          <w:numId w:val="1"/>
        </w:numPr>
        <w:jc w:val="both"/>
      </w:pPr>
      <w:r>
        <w:t xml:space="preserve">Citoyen/citoyenneté. </w:t>
      </w:r>
      <w:r/>
    </w:p>
    <w:p>
      <w:pPr>
        <w:numPr>
          <w:ilvl w:val="1"/>
          <w:numId w:val="1"/>
        </w:numPr>
        <w:jc w:val="both"/>
      </w:pPr>
      <w:r>
        <w:t xml:space="preserve">Corruption et crise de confiance. </w:t>
      </w:r>
      <w:r/>
    </w:p>
    <w:p>
      <w:pPr>
        <w:numPr>
          <w:ilvl w:val="1"/>
          <w:numId w:val="1"/>
        </w:numPr>
        <w:jc w:val="both"/>
      </w:pPr>
      <w:r>
        <w:t xml:space="preserve">Sphère privée / sphère publique à l’</w:t>
      </w:r>
      <w:r>
        <w:t xml:space="preserve">ère</w:t>
      </w:r>
      <w:r>
        <w:t xml:space="preserve"> du </w:t>
      </w:r>
      <w:r>
        <w:t xml:space="preserve">numérique</w:t>
      </w:r>
      <w:r>
        <w:t xml:space="preserve">. </w:t>
      </w:r>
      <w:r/>
    </w:p>
    <w:p>
      <w:pPr>
        <w:numPr>
          <w:ilvl w:val="1"/>
          <w:numId w:val="1"/>
        </w:numPr>
        <w:jc w:val="both"/>
      </w:pPr>
      <w:r>
        <w:t xml:space="preserve">Représentation</w:t>
      </w:r>
      <w:r>
        <w:t xml:space="preserve"> politique ; </w:t>
      </w:r>
      <w:r>
        <w:t xml:space="preserve">débat</w:t>
      </w:r>
      <w:r>
        <w:t xml:space="preserve"> ; </w:t>
      </w:r>
      <w:r>
        <w:t xml:space="preserve">décision</w:t>
      </w:r>
      <w:r>
        <w:t xml:space="preserve"> publique. </w:t>
      </w:r>
      <w:r/>
    </w:p>
    <w:p>
      <w:pPr>
        <w:numPr>
          <w:ilvl w:val="1"/>
          <w:numId w:val="1"/>
        </w:numPr>
        <w:jc w:val="both"/>
      </w:pPr>
      <w:r>
        <w:t xml:space="preserve">Information et </w:t>
      </w:r>
      <w:r>
        <w:t xml:space="preserve">désinformations</w:t>
      </w:r>
      <w:r>
        <w:t xml:space="preserve">. </w:t>
      </w:r>
      <w:r/>
    </w:p>
    <w:p>
      <w:pPr>
        <w:numPr>
          <w:ilvl w:val="1"/>
          <w:numId w:val="1"/>
        </w:numPr>
        <w:jc w:val="both"/>
      </w:pPr>
      <w:r>
        <w:t xml:space="preserve">Politiques publiques. </w:t>
      </w:r>
      <w:r/>
    </w:p>
    <w:p>
      <w:pPr>
        <w:numPr>
          <w:ilvl w:val="1"/>
          <w:numId w:val="1"/>
        </w:numPr>
        <w:jc w:val="both"/>
      </w:pPr>
      <w:r>
        <w:t xml:space="preserve">Justice internationale. </w:t>
      </w:r>
      <w:r/>
    </w:p>
    <w:p>
      <w:pPr>
        <w:jc w:val="both"/>
      </w:pPr>
      <w:r/>
      <w:r/>
    </w:p>
    <w:p>
      <w:pPr>
        <w:jc w:val="both"/>
        <w:rPr>
          <w:b/>
        </w:rPr>
        <w:pBdr>
          <w:left w:val="single" w:sz="4" w:space="4" w:color="auto"/>
          <w:top w:val="single" w:sz="4" w:space="1" w:color="auto"/>
          <w:right w:val="single" w:sz="4" w:space="4" w:color="auto"/>
          <w:bottom w:val="single" w:sz="4" w:space="1" w:color="auto"/>
        </w:pBdr>
      </w:pPr>
      <w:r>
        <w:rPr>
          <w:b/>
        </w:rPr>
        <w:t xml:space="preserve">Objectifs de la séquence</w:t>
      </w:r>
      <w:r/>
    </w:p>
    <w:p>
      <w:pPr>
        <w:jc w:val="both"/>
      </w:pPr>
      <w:r/>
      <w:r/>
    </w:p>
    <w:p>
      <w:pPr>
        <w:pStyle w:val="493"/>
        <w:numPr>
          <w:ilvl w:val="0"/>
          <w:numId w:val="3"/>
        </w:numPr>
        <w:jc w:val="both"/>
      </w:pPr>
      <w:r>
        <w:t xml:space="preserve">Acquérir les compétences théoriques liées au programme d’EMC (éducation aux médias, rôle de l’information, lutte contre</w:t>
      </w:r>
      <w:r>
        <w:t xml:space="preserve"> la désinformation</w:t>
      </w:r>
      <w:r>
        <w:t xml:space="preserve">, </w:t>
      </w:r>
      <w:r>
        <w:t xml:space="preserve">diffusion et place de ces « </w:t>
      </w:r>
      <w:r>
        <w:t xml:space="preserve">fake</w:t>
      </w:r>
      <w:r>
        <w:t xml:space="preserve"> news » dans les réseaux sociaux, construction d’une théorie </w:t>
      </w:r>
      <w:r>
        <w:t xml:space="preserve">complotiste</w:t>
      </w:r>
      <w:r>
        <w:t xml:space="preserve">, éducation à la recherche de sources. </w:t>
      </w:r>
      <w:r/>
    </w:p>
    <w:p>
      <w:pPr>
        <w:pStyle w:val="493"/>
        <w:numPr>
          <w:ilvl w:val="0"/>
          <w:numId w:val="3"/>
        </w:numPr>
        <w:jc w:val="both"/>
      </w:pPr>
      <w:r>
        <w:t xml:space="preserve">Utilisation de logiciels et </w:t>
      </w:r>
      <w:r>
        <w:t xml:space="preserve">acquisition </w:t>
      </w:r>
      <w:r>
        <w:t xml:space="preserve">de compétences liés au référentiel PIX</w:t>
      </w:r>
      <w:r/>
    </w:p>
    <w:p>
      <w:pPr>
        <w:pStyle w:val="493"/>
        <w:numPr>
          <w:ilvl w:val="0"/>
          <w:numId w:val="3"/>
        </w:numPr>
        <w:jc w:val="both"/>
      </w:pPr>
      <w:r>
        <w:t xml:space="preserve">Pratique de l’oral : être clair, précis et convaincant pour permettre l’adhésion aux thèses défendues. </w:t>
      </w:r>
      <w:r/>
    </w:p>
    <w:p>
      <w:pPr>
        <w:jc w:val="both"/>
      </w:pPr>
      <w:r/>
      <w:r/>
    </w:p>
    <w:p>
      <w:pPr>
        <w:jc w:val="both"/>
      </w:pPr>
      <w:r/>
      <w:r/>
    </w:p>
    <w:p>
      <w:pPr>
        <w:jc w:val="both"/>
        <w:rPr>
          <w:b/>
        </w:rPr>
        <w:pBdr>
          <w:left w:val="single" w:sz="4" w:space="4" w:color="auto"/>
          <w:top w:val="single" w:sz="4" w:space="1" w:color="auto"/>
          <w:right w:val="single" w:sz="4" w:space="4" w:color="auto"/>
          <w:bottom w:val="single" w:sz="4" w:space="1" w:color="auto"/>
        </w:pBdr>
      </w:pPr>
      <w:r>
        <w:rPr>
          <w:b/>
        </w:rPr>
        <w:t xml:space="preserve">Sujet/intitulé</w:t>
      </w:r>
      <w:r/>
    </w:p>
    <w:p>
      <w:pPr>
        <w:jc w:val="both"/>
      </w:pPr>
      <w:r/>
      <w:r/>
    </w:p>
    <w:p>
      <w:pPr>
        <w:jc w:val="both"/>
      </w:pPr>
      <w:r/>
      <w:r/>
    </w:p>
    <w:p>
      <w:pPr>
        <w:jc w:val="center"/>
        <w:rPr>
          <w:b/>
        </w:rPr>
      </w:pPr>
      <w:r>
        <w:rPr>
          <w:b/>
        </w:rPr>
        <w:t xml:space="preserve">Déconstruction d’une théorie </w:t>
      </w:r>
      <w:r>
        <w:rPr>
          <w:b/>
        </w:rPr>
        <w:t xml:space="preserve">complotiste</w:t>
      </w:r>
      <w:r/>
    </w:p>
    <w:p>
      <w:pPr>
        <w:jc w:val="center"/>
        <w:rPr>
          <w:b/>
        </w:rPr>
      </w:pPr>
      <w:r>
        <w:rPr>
          <w:b/>
        </w:rPr>
      </w:r>
      <w:r>
        <w:rPr>
          <w:b/>
        </w:rPr>
      </w:r>
    </w:p>
    <w:p>
      <w:pPr>
        <w:jc w:val="left"/>
        <w:rPr>
          <w:b/>
        </w:rPr>
      </w:pPr>
      <w:r>
        <w:rPr>
          <w:b/>
        </w:rPr>
      </w:r>
      <w:r>
        <w:rPr>
          <w:b/>
        </w:rPr>
      </w:r>
    </w:p>
    <w:p>
      <w:pPr>
        <w:jc w:val="both"/>
      </w:pPr>
      <w:r/>
      <w:r/>
    </w:p>
    <w:p>
      <w:pPr>
        <w:jc w:val="both"/>
        <w:rPr>
          <w:b/>
        </w:rPr>
        <w:pBdr>
          <w:left w:val="single" w:sz="4" w:space="4" w:color="auto"/>
          <w:top w:val="single" w:sz="4" w:space="1" w:color="auto"/>
          <w:right w:val="single" w:sz="4" w:space="4" w:color="auto"/>
          <w:bottom w:val="single" w:sz="4" w:space="1" w:color="auto"/>
        </w:pBdr>
      </w:pPr>
      <w:r>
        <w:rPr>
          <w:b/>
        </w:rPr>
        <w:t xml:space="preserve">Nature de l’activité</w:t>
      </w:r>
      <w:r/>
    </w:p>
    <w:p>
      <w:pPr>
        <w:jc w:val="both"/>
      </w:pPr>
      <w:r/>
      <w:r/>
    </w:p>
    <w:p>
      <w:pPr>
        <w:jc w:val="both"/>
      </w:pPr>
      <w:r>
        <w:t xml:space="preserve">Après avoir choisi une thèse </w:t>
      </w:r>
      <w:r>
        <w:t xml:space="preserve">complotiste</w:t>
      </w:r>
      <w:r>
        <w:t xml:space="preserve">,</w:t>
      </w:r>
      <w:r>
        <w:t xml:space="preserve"> et à l’aide de recherches abouties sur le sujet,  il sera demandé aux élèves de déconstruire scientifiquement une théorie </w:t>
      </w:r>
      <w:r>
        <w:t xml:space="preserve">complotiste</w:t>
      </w:r>
      <w:r>
        <w:t xml:space="preserve"> en intégrant des images, vidéos, graphiques, analyses, au sein d’une courte vidéo dont ils seront les narrateurs. </w:t>
      </w:r>
      <w:r/>
    </w:p>
    <w:p>
      <w:pPr>
        <w:jc w:val="both"/>
      </w:pPr>
      <w:r/>
      <w:r/>
    </w:p>
    <w:p>
      <w:pPr>
        <w:jc w:val="both"/>
        <w:rPr>
          <w:b/>
        </w:rPr>
        <w:pBdr>
          <w:left w:val="single" w:sz="4" w:space="4" w:color="auto"/>
          <w:top w:val="single" w:sz="4" w:space="1" w:color="auto"/>
          <w:right w:val="single" w:sz="4" w:space="4" w:color="auto"/>
          <w:bottom w:val="single" w:sz="4" w:space="1" w:color="auto"/>
        </w:pBdr>
      </w:pPr>
      <w:r>
        <w:rPr>
          <w:b/>
        </w:rPr>
        <w:t xml:space="preserve">Description de l’activité</w:t>
      </w:r>
      <w:r/>
    </w:p>
    <w:p>
      <w:pPr>
        <w:jc w:val="both"/>
      </w:pPr>
      <w:r/>
      <w:r/>
    </w:p>
    <w:p>
      <w:pPr>
        <w:jc w:val="both"/>
        <w:rPr>
          <w:i/>
          <w:u w:val="single"/>
        </w:rPr>
      </w:pPr>
      <w:r>
        <w:rPr>
          <w:i/>
          <w:u w:val="single"/>
        </w:rPr>
        <w:t xml:space="preserve">Pré-requis</w:t>
      </w:r>
      <w:r>
        <w:rPr>
          <w:i/>
          <w:u w:val="single"/>
        </w:rPr>
        <w:t xml:space="preserve"> / activités possibles réalisées en amont</w:t>
      </w:r>
      <w:r/>
    </w:p>
    <w:p>
      <w:pPr>
        <w:jc w:val="both"/>
      </w:pPr>
      <w:r/>
      <w:r/>
    </w:p>
    <w:p>
      <w:pPr>
        <w:jc w:val="both"/>
      </w:pPr>
      <w:r>
        <w:t xml:space="preserve">- Etude des principaux canaux médiatiques. </w:t>
      </w:r>
      <w:r/>
    </w:p>
    <w:p>
      <w:pPr>
        <w:jc w:val="both"/>
      </w:pPr>
      <w:r>
        <w:t xml:space="preserve">- Possibilité de visionner le documentaire de Martin We</w:t>
      </w:r>
      <w:r>
        <w:t xml:space="preserve">il sur l’augmentation</w:t>
      </w:r>
      <w:r>
        <w:t xml:space="preserve"> du poids des théories </w:t>
      </w:r>
      <w:r>
        <w:t xml:space="preserve">complotistes</w:t>
      </w:r>
      <w:r>
        <w:t xml:space="preserve"> (illustration avec notamment la mouvance « </w:t>
      </w:r>
      <w:r>
        <w:t xml:space="preserve">platiste</w:t>
      </w:r>
      <w:r>
        <w:t xml:space="preserve"> »). </w:t>
      </w:r>
      <w:r/>
    </w:p>
    <w:p>
      <w:pPr>
        <w:jc w:val="both"/>
      </w:pPr>
      <w:r>
        <w:t xml:space="preserve">- O</w:t>
      </w:r>
      <w:r>
        <w:t xml:space="preserve">u encore le documentaire de France</w:t>
      </w:r>
      <w:r>
        <w:t xml:space="preserve"> TV « La fabrique du mensonge »</w:t>
      </w:r>
      <w:r/>
    </w:p>
    <w:p>
      <w:pPr>
        <w:jc w:val="both"/>
      </w:pPr>
      <w:r>
        <w:t xml:space="preserve">- Analyse et explications des </w:t>
      </w:r>
      <w:r>
        <w:t xml:space="preserve">codes et normes de construction d’une théorie </w:t>
      </w:r>
      <w:r>
        <w:t xml:space="preserve">complotiste</w:t>
      </w:r>
      <w:r>
        <w:t xml:space="preserve">. </w:t>
      </w:r>
      <w:r/>
    </w:p>
    <w:p>
      <w:pPr>
        <w:jc w:val="both"/>
      </w:pPr>
      <w:r>
        <w:t xml:space="preserve">- Vidéo mettant en scène une théorie </w:t>
      </w:r>
      <w:r>
        <w:t xml:space="preserve">complotiste</w:t>
      </w:r>
      <w:r>
        <w:t xml:space="preserve">, respectant les codes et les </w:t>
      </w:r>
      <w:r>
        <w:t xml:space="preserve">normes de ce mouvement. </w:t>
      </w:r>
      <w:r/>
    </w:p>
    <w:p>
      <w:pPr>
        <w:jc w:val="both"/>
      </w:pPr>
      <w:r>
        <w:t xml:space="preserve">- Utilisation du </w:t>
      </w:r>
      <w:r>
        <w:t xml:space="preserve">Padlet</w:t>
      </w:r>
      <w:r>
        <w:t xml:space="preserve"> mis en place par le Livre Scolaire recensant un grand nombre d’outil pour l’éducation aux médias et particulièrement sur les </w:t>
      </w:r>
      <w:r>
        <w:t xml:space="preserve">Fake</w:t>
      </w:r>
      <w:r>
        <w:t xml:space="preserve"> News et théories </w:t>
      </w:r>
      <w:r>
        <w:t xml:space="preserve">complotistes</w:t>
      </w:r>
      <w:r>
        <w:t xml:space="preserve">.</w:t>
      </w:r>
      <w:r/>
    </w:p>
    <w:p>
      <w:pPr>
        <w:jc w:val="both"/>
      </w:pPr>
      <w:r/>
      <w:r/>
    </w:p>
    <w:p>
      <w:pPr>
        <w:jc w:val="both"/>
        <w:rPr>
          <w:i/>
        </w:rPr>
      </w:pPr>
      <w:r>
        <w:rPr>
          <w:i/>
        </w:rPr>
        <w:t xml:space="preserve">(Possibilité de s’appuyer sur le travail de </w:t>
      </w:r>
      <w:r>
        <w:rPr>
          <w:i/>
        </w:rPr>
        <w:t xml:space="preserve">Spicee</w:t>
      </w:r>
      <w:r>
        <w:rPr>
          <w:i/>
        </w:rPr>
        <w:t xml:space="preserve">, cité en bas de document) </w:t>
      </w:r>
      <w:r/>
    </w:p>
    <w:p>
      <w:pPr>
        <w:jc w:val="both"/>
        <w:rPr>
          <w:i/>
        </w:rPr>
      </w:pPr>
      <w:r>
        <w:rPr>
          <w:i/>
        </w:rPr>
      </w:r>
      <w:r/>
    </w:p>
    <w:p>
      <w:pPr>
        <w:jc w:val="both"/>
        <w:rPr>
          <w:b/>
        </w:rPr>
        <w:pBdr>
          <w:left w:val="single" w:sz="4" w:space="4" w:color="auto"/>
          <w:top w:val="single" w:sz="4" w:space="1" w:color="auto"/>
          <w:right w:val="single" w:sz="4" w:space="4" w:color="auto"/>
          <w:bottom w:val="single" w:sz="4" w:space="1" w:color="auto"/>
        </w:pBdr>
      </w:pPr>
      <w:r>
        <w:rPr>
          <w:b/>
        </w:rPr>
        <w:t xml:space="preserve">Tutoriel / logiciel utilisé</w:t>
      </w:r>
      <w:r/>
    </w:p>
    <w:p>
      <w:pPr>
        <w:jc w:val="both"/>
      </w:pPr>
      <w:r/>
      <w:r/>
    </w:p>
    <w:p>
      <w:pPr>
        <w:jc w:val="both"/>
      </w:pPr>
      <w:r>
        <w:t xml:space="preserve">Adobe </w:t>
      </w:r>
      <w:r>
        <w:t xml:space="preserve">spark</w:t>
      </w:r>
      <w:r>
        <w:t xml:space="preserve"> – (il existe des logiciels comme Com-Phone également, au choix de l’enseignant de prendre celui qui lui semble le plus « simple » d’utilisation)</w:t>
      </w:r>
      <w:r/>
    </w:p>
    <w:p>
      <w:pPr>
        <w:jc w:val="both"/>
      </w:pPr>
      <w:r/>
      <w:r/>
    </w:p>
    <w:p>
      <w:pPr>
        <w:jc w:val="both"/>
      </w:pPr>
      <w:r>
        <w:t xml:space="preserve">Exemple d’utilisation du logiciel Adobe </w:t>
      </w:r>
      <w:r>
        <w:t xml:space="preserve">Spark</w:t>
      </w:r>
      <w:r>
        <w:t xml:space="preserve"> Vidéo</w:t>
      </w:r>
      <w:r/>
    </w:p>
    <w:p>
      <w:pPr>
        <w:jc w:val="both"/>
      </w:pPr>
      <w:r/>
      <w:r/>
    </w:p>
    <w:p>
      <w:pPr>
        <w:jc w:val="both"/>
      </w:pPr>
      <w:r>
        <mc:AlternateContent>
          <mc:Choice Requires="wpg">
            <w:drawing>
              <wp:inline xmlns:wp="http://schemas.openxmlformats.org/drawingml/2006/wordprocessingDrawing" distT="0" distB="0" distL="0" distR="0">
                <wp:extent cx="6632575" cy="3321685"/>
                <wp:effectExtent l="0" t="0" r="0" b="5715"/>
                <wp:docPr id="1" name="Image 2" descr="Macintosh HD:private:var:folders:r1:8hntgw_n47z54ns4mq_6fjfc0000gn:T:TemporaryItems:Capture d’écran 2021-03-07 à 12.48.40.pn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1" descr="Macintosh HD:private:var:folders:r1:8hntgw_n47z54ns4mq_6fjfc0000gn:T:TemporaryItems:Capture d’écran 2021-03-07 à 12.48.40.png" hidden="0"/>
                        <pic:cNvPicPr>
                          <a:picLocks noChangeAspect="1"/>
                        </pic:cNvPicPr>
                        <pic:nvPr isPhoto="0" userDrawn="0"/>
                      </pic:nvPicPr>
                      <pic:blipFill>
                        <a:blip r:embed="rId10"/>
                        <a:stretch/>
                      </pic:blipFill>
                      <pic:spPr bwMode="auto">
                        <a:xfrm>
                          <a:off x="0" y="0"/>
                          <a:ext cx="6632575" cy="33216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22.2pt;height:261.6pt;">
                <v:path textboxrect="0,0,0,0"/>
                <v:imagedata r:id="rId10" o:title=""/>
              </v:shape>
            </w:pict>
          </mc:Fallback>
        </mc:AlternateContent>
      </w:r>
      <w:r/>
    </w:p>
    <w:p>
      <w:pPr>
        <w:jc w:val="both"/>
      </w:pPr>
      <w:r/>
      <w:r/>
    </w:p>
    <w:p>
      <w:pPr>
        <w:jc w:val="both"/>
      </w:pPr>
      <w:r/>
      <w:r/>
    </w:p>
    <w:p>
      <w:pPr>
        <w:jc w:val="both"/>
      </w:pPr>
      <w:r>
        <w:t xml:space="preserve">Logiciel qui dispose d’un tutoriel d’aide intégré. Il est également possible de suivre les indications à l’aide de la vidéo proposée ici </w:t>
      </w:r>
      <w:hyperlink r:id="rId11" w:tooltip="http://ticeman.fr/TV/?p=591" w:history="1">
        <w:r>
          <w:rPr>
            <w:rStyle w:val="494"/>
          </w:rPr>
          <w:t xml:space="preserve">http://ticeman.fr/TV/?p=591</w:t>
        </w:r>
      </w:hyperlink>
      <w:r>
        <w:t xml:space="preserve">)</w:t>
      </w:r>
      <w:r/>
    </w:p>
    <w:p>
      <w:pPr>
        <w:jc w:val="both"/>
      </w:pPr>
      <w:r>
        <w:t xml:space="preserve"> </w:t>
      </w:r>
      <w:r/>
    </w:p>
    <w:p>
      <w:pPr>
        <w:jc w:val="center"/>
      </w:pPr>
      <w:r>
        <mc:AlternateContent>
          <mc:Choice Requires="wpg">
            <w:drawing>
              <wp:inline xmlns:wp="http://schemas.openxmlformats.org/drawingml/2006/wordprocessingDrawing" distT="0" distB="0" distL="0" distR="0">
                <wp:extent cx="6307750" cy="3159008"/>
                <wp:effectExtent l="6350" t="6350" r="6350" b="6350"/>
                <wp:docPr id="2" name="Image 6" descr="Macintosh HD:private:var:folders:r1:8hntgw_n47z54ns4mq_6fjfc0000gn:T:TemporaryItems:Capture d’écran 2021-03-07 à 16.50.01.pn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2" descr="Macintosh HD:private:var:folders:r1:8hntgw_n47z54ns4mq_6fjfc0000gn:T:TemporaryItems:Capture d’écran 2021-03-07 à 16.50.01.png" hidden="0"/>
                        <pic:cNvPicPr>
                          <a:picLocks noChangeAspect="1"/>
                        </pic:cNvPicPr>
                        <pic:nvPr isPhoto="0" userDrawn="0"/>
                      </pic:nvPicPr>
                      <pic:blipFill>
                        <a:blip r:embed="rId12"/>
                        <a:stretch/>
                      </pic:blipFill>
                      <pic:spPr bwMode="auto">
                        <a:xfrm flipH="0" flipV="0">
                          <a:off x="0" y="0"/>
                          <a:ext cx="6307749" cy="3159007"/>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96.7pt;height:248.7pt;">
                <v:path textboxrect="0,0,0,0"/>
                <v:imagedata r:id="rId12" o:title=""/>
              </v:shape>
            </w:pict>
          </mc:Fallback>
        </mc:AlternateContent>
      </w:r>
      <w:r/>
    </w:p>
    <w:p>
      <w:pPr>
        <w:jc w:val="both"/>
        <w:rPr>
          <w:i/>
        </w:rPr>
      </w:pPr>
      <w:r>
        <w:rPr>
          <w:i/>
        </w:rPr>
      </w:r>
      <w:r/>
    </w:p>
    <w:p>
      <w:pPr>
        <w:jc w:val="both"/>
        <w:rPr>
          <w:i/>
        </w:rPr>
      </w:pPr>
      <w:r>
        <w:rPr>
          <w:i/>
        </w:rPr>
      </w:r>
      <w:r/>
    </w:p>
    <w:p>
      <w:pPr>
        <w:jc w:val="both"/>
        <w:rPr>
          <w:b/>
        </w:rPr>
        <w:pBdr>
          <w:left w:val="single" w:sz="4" w:space="4" w:color="auto"/>
          <w:top w:val="single" w:sz="4" w:space="1" w:color="auto"/>
          <w:right w:val="single" w:sz="4" w:space="4" w:color="auto"/>
          <w:bottom w:val="single" w:sz="4" w:space="1" w:color="auto"/>
        </w:pBdr>
      </w:pPr>
      <w:r>
        <w:rPr>
          <w:b/>
        </w:rPr>
        <w:t xml:space="preserve">Déroulement de la séance : durée indicative </w:t>
      </w:r>
      <w:r>
        <w:rPr>
          <w:b/>
        </w:rPr>
        <w:t xml:space="preserve">entre 3 et 5 heures</w:t>
      </w:r>
      <w:r>
        <w:rPr>
          <w:b/>
        </w:rPr>
        <w:t xml:space="preserve"> </w:t>
      </w:r>
      <w:r/>
    </w:p>
    <w:p>
      <w:pPr>
        <w:jc w:val="both"/>
        <w:rPr>
          <w:i/>
          <w:u w:val="single"/>
        </w:rPr>
      </w:pPr>
      <w:r>
        <w:rPr>
          <w:i/>
          <w:u w:val="single"/>
        </w:rPr>
      </w:r>
      <w:r/>
    </w:p>
    <w:p>
      <w:pPr>
        <w:jc w:val="both"/>
        <w:rPr>
          <w:u w:val="single"/>
        </w:rPr>
      </w:pPr>
      <w:r>
        <w:rPr>
          <w:u w:val="single"/>
        </w:rPr>
        <w:t xml:space="preserve">Organisation</w:t>
      </w:r>
      <w:r>
        <w:t xml:space="preserve"> :</w:t>
      </w:r>
      <w:r>
        <w:rPr>
          <w:u w:val="single"/>
        </w:rPr>
        <w:t xml:space="preserve"> </w:t>
      </w:r>
      <w:r/>
    </w:p>
    <w:p>
      <w:pPr>
        <w:jc w:val="both"/>
        <w:rPr>
          <w:u w:val="single"/>
        </w:rPr>
      </w:pPr>
      <w:r>
        <w:rPr>
          <w:u w:val="single"/>
        </w:rPr>
      </w:r>
      <w:r/>
    </w:p>
    <w:p>
      <w:pPr>
        <w:pStyle w:val="493"/>
        <w:numPr>
          <w:ilvl w:val="0"/>
          <w:numId w:val="7"/>
        </w:numPr>
        <w:jc w:val="both"/>
      </w:pPr>
      <w:r>
        <w:t xml:space="preserve">Classe entière (ou demi-groupe)</w:t>
      </w:r>
      <w:r/>
    </w:p>
    <w:p>
      <w:pPr>
        <w:pStyle w:val="493"/>
        <w:numPr>
          <w:ilvl w:val="0"/>
          <w:numId w:val="7"/>
        </w:numPr>
        <w:jc w:val="both"/>
      </w:pPr>
      <w:r>
        <w:t xml:space="preserve">Matériel nécessaire : salle informatique pour</w:t>
      </w:r>
      <w:r>
        <w:t xml:space="preserve"> la création de la vidéo et/ou S</w:t>
      </w:r>
      <w:r>
        <w:t xml:space="preserve">martphone</w:t>
      </w:r>
      <w:r>
        <w:t xml:space="preserve">s/tablettes</w:t>
      </w:r>
      <w:r>
        <w:t xml:space="preserve"> connectés au WIFI de l’établissement. </w:t>
      </w:r>
      <w:r/>
    </w:p>
    <w:p>
      <w:pPr>
        <w:pStyle w:val="493"/>
        <w:numPr>
          <w:ilvl w:val="0"/>
          <w:numId w:val="7"/>
        </w:numPr>
        <w:jc w:val="both"/>
      </w:pPr>
      <w:r>
        <w:t xml:space="preserve">Prévoir une séance au</w:t>
      </w:r>
      <w:r>
        <w:t xml:space="preserve"> CDI pour accéder à d’autres supports de recherches que les informations collectées sur Internet. </w:t>
      </w:r>
      <w:r/>
    </w:p>
    <w:p>
      <w:pPr>
        <w:jc w:val="both"/>
      </w:pPr>
      <w:r/>
      <w:r/>
    </w:p>
    <w:p>
      <w:pPr>
        <w:jc w:val="both"/>
      </w:pPr>
      <w:r>
        <w:rPr>
          <w:u w:val="single"/>
        </w:rPr>
        <w:t xml:space="preserve">1</w:t>
      </w:r>
      <w:r>
        <w:rPr>
          <w:u w:val="single"/>
          <w:vertAlign w:val="superscript"/>
        </w:rPr>
        <w:t xml:space="preserve">ère</w:t>
      </w:r>
      <w:r>
        <w:rPr>
          <w:u w:val="single"/>
        </w:rPr>
        <w:t xml:space="preserve"> séance </w:t>
      </w:r>
      <w:r>
        <w:t xml:space="preserve">:</w:t>
      </w:r>
      <w:r/>
    </w:p>
    <w:p>
      <w:pPr>
        <w:jc w:val="both"/>
      </w:pPr>
      <w:r/>
      <w:r/>
    </w:p>
    <w:p>
      <w:pPr>
        <w:pStyle w:val="493"/>
        <w:numPr>
          <w:ilvl w:val="0"/>
          <w:numId w:val="11"/>
        </w:numPr>
        <w:jc w:val="both"/>
      </w:pPr>
      <w:r>
        <w:t xml:space="preserve">Possibilité de démarrer la séance en réalisant un Q-Sort sur les connaissances antérieures des élèves.</w:t>
      </w:r>
      <w:r/>
    </w:p>
    <w:p>
      <w:pPr>
        <w:pStyle w:val="493"/>
        <w:numPr>
          <w:ilvl w:val="0"/>
          <w:numId w:val="8"/>
        </w:numPr>
        <w:jc w:val="both"/>
      </w:pPr>
      <w:r>
        <w:t xml:space="preserve">Initiation aux théori</w:t>
      </w:r>
      <w:r>
        <w:t xml:space="preserve">es </w:t>
      </w:r>
      <w:r>
        <w:t xml:space="preserve">complotistes</w:t>
      </w:r>
      <w:r>
        <w:t xml:space="preserve"> et analyse des </w:t>
      </w:r>
      <w:r>
        <w:t xml:space="preserve">Fake</w:t>
      </w:r>
      <w:r>
        <w:t xml:space="preserve"> N</w:t>
      </w:r>
      <w:r>
        <w:t xml:space="preserve">ews (qu’est-ce qu’une source</w:t>
      </w:r>
      <w:r>
        <w:t xml:space="preserve"> sure ? Rôle de la fiabilité des sources dans la démonstration scientifique, comment travaille un journaliste ? …).  Education aux médias à l’aide des professeurs documentalistes. Supports vidéos possibles (énoncés ci-dessus et repris en bas de document). </w:t>
      </w:r>
      <w:r/>
    </w:p>
    <w:p>
      <w:pPr>
        <w:pStyle w:val="493"/>
        <w:numPr>
          <w:ilvl w:val="0"/>
          <w:numId w:val="8"/>
        </w:numPr>
        <w:jc w:val="both"/>
      </w:pPr>
      <w:r>
        <w:t xml:space="preserve">Exposé rapide des théories </w:t>
      </w:r>
      <w:r>
        <w:t xml:space="preserve">complotistes</w:t>
      </w:r>
      <w:r>
        <w:t xml:space="preserve"> les plus connues. </w:t>
      </w:r>
      <w:r/>
    </w:p>
    <w:p>
      <w:pPr>
        <w:jc w:val="both"/>
      </w:pPr>
      <w:r/>
      <w:r/>
    </w:p>
    <w:p>
      <w:pPr>
        <w:jc w:val="both"/>
      </w:pPr>
      <w:r>
        <w:rPr>
          <w:u w:val="single"/>
        </w:rPr>
        <w:t xml:space="preserve">2</w:t>
      </w:r>
      <w:r>
        <w:rPr>
          <w:u w:val="single"/>
          <w:vertAlign w:val="superscript"/>
        </w:rPr>
        <w:t xml:space="preserve">ème</w:t>
      </w:r>
      <w:r>
        <w:rPr>
          <w:u w:val="single"/>
        </w:rPr>
        <w:t xml:space="preserve"> séance : (1 ou 2 heures)</w:t>
      </w:r>
      <w:r>
        <w:t xml:space="preserve"> : </w:t>
      </w:r>
      <w:r/>
    </w:p>
    <w:p>
      <w:pPr>
        <w:jc w:val="both"/>
      </w:pPr>
      <w:r/>
      <w:r/>
    </w:p>
    <w:p>
      <w:pPr>
        <w:pStyle w:val="493"/>
        <w:numPr>
          <w:ilvl w:val="0"/>
          <w:numId w:val="9"/>
        </w:numPr>
        <w:jc w:val="both"/>
      </w:pPr>
      <w:r>
        <w:t xml:space="preserve">En salle informatique et au CDI. </w:t>
      </w:r>
      <w:r/>
    </w:p>
    <w:p>
      <w:pPr>
        <w:pStyle w:val="493"/>
        <w:numPr>
          <w:ilvl w:val="0"/>
          <w:numId w:val="9"/>
        </w:numPr>
        <w:jc w:val="both"/>
      </w:pPr>
      <w:r>
        <w:t xml:space="preserve">Possibilité d’utiliser le </w:t>
      </w:r>
      <w:r>
        <w:t xml:space="preserve">Padlet</w:t>
      </w:r>
      <w:r>
        <w:t xml:space="preserve"> du Livre Scolaire en soutien. </w:t>
      </w:r>
      <w:r/>
    </w:p>
    <w:p>
      <w:pPr>
        <w:pStyle w:val="493"/>
        <w:numPr>
          <w:ilvl w:val="0"/>
          <w:numId w:val="9"/>
        </w:numPr>
        <w:jc w:val="both"/>
      </w:pPr>
      <w:r>
        <w:t xml:space="preserve">Après avoir choisi une théorie </w:t>
      </w:r>
      <w:r>
        <w:t xml:space="preserve">compl</w:t>
      </w:r>
      <w:r>
        <w:t xml:space="preserve">otiste</w:t>
      </w:r>
      <w:r>
        <w:t xml:space="preserve">, recherche d’argument</w:t>
      </w:r>
      <w:r>
        <w:t xml:space="preserve">s permettant de la remettre en cause et d’expliquer à l’aide de sources scientifiques en quoi cette dernière ne peut être valable</w:t>
      </w:r>
      <w:r>
        <w:t xml:space="preserve"> scientifiquement</w:t>
      </w:r>
      <w:r>
        <w:t xml:space="preserve">.</w:t>
      </w:r>
      <w:r/>
    </w:p>
    <w:p>
      <w:pPr>
        <w:jc w:val="both"/>
      </w:pPr>
      <w:r/>
      <w:r/>
    </w:p>
    <w:p>
      <w:pPr>
        <w:jc w:val="both"/>
      </w:pPr>
      <w:r>
        <w:rPr>
          <w:u w:val="single"/>
        </w:rPr>
        <w:t xml:space="preserve">3</w:t>
      </w:r>
      <w:r>
        <w:rPr>
          <w:u w:val="single"/>
          <w:vertAlign w:val="superscript"/>
        </w:rPr>
        <w:t xml:space="preserve">ème</w:t>
      </w:r>
      <w:r>
        <w:rPr>
          <w:u w:val="single"/>
        </w:rPr>
        <w:t xml:space="preserve"> séance : (1 ou 2 heures)</w:t>
      </w:r>
      <w:r>
        <w:rPr>
          <w:u w:val="single"/>
        </w:rPr>
        <w:t xml:space="preserve"> </w:t>
      </w:r>
      <w:r>
        <w:t xml:space="preserve">: </w:t>
      </w:r>
      <w:r/>
    </w:p>
    <w:p>
      <w:pPr>
        <w:jc w:val="both"/>
      </w:pPr>
      <w:r/>
      <w:r/>
    </w:p>
    <w:p>
      <w:pPr>
        <w:pStyle w:val="493"/>
        <w:numPr>
          <w:ilvl w:val="0"/>
          <w:numId w:val="10"/>
        </w:numPr>
        <w:jc w:val="both"/>
      </w:pPr>
      <w:r>
        <w:t xml:space="preserve">En salle informatique. </w:t>
      </w:r>
      <w:r/>
    </w:p>
    <w:p>
      <w:pPr>
        <w:pStyle w:val="493"/>
        <w:numPr>
          <w:ilvl w:val="0"/>
          <w:numId w:val="10"/>
        </w:numPr>
        <w:jc w:val="both"/>
      </w:pPr>
      <w:r>
        <w:t xml:space="preserve">Présentation du logiciel </w:t>
      </w:r>
      <w:r>
        <w:t xml:space="preserve">Adope</w:t>
      </w:r>
      <w:r>
        <w:t xml:space="preserve"> </w:t>
      </w:r>
      <w:r>
        <w:t xml:space="preserve">Spark</w:t>
      </w:r>
      <w:r>
        <w:t xml:space="preserve"> vidéo et de son fonctionnement. </w:t>
      </w:r>
      <w:r/>
    </w:p>
    <w:p>
      <w:pPr>
        <w:pStyle w:val="493"/>
        <w:numPr>
          <w:ilvl w:val="0"/>
          <w:numId w:val="10"/>
        </w:numPr>
        <w:jc w:val="both"/>
      </w:pPr>
      <w:r>
        <w:t xml:space="preserve">Construction de la vidéo (d’une durée comprise entre 3 et 5 minutes) permettant d’énoncer les arguments trouvés au cours de la séance de recherches documentaires. </w:t>
      </w:r>
      <w:r/>
    </w:p>
    <w:p>
      <w:pPr>
        <w:pStyle w:val="493"/>
        <w:numPr>
          <w:ilvl w:val="0"/>
          <w:numId w:val="10"/>
        </w:numPr>
        <w:jc w:val="both"/>
      </w:pPr>
      <w:r>
        <w:t xml:space="preserve">Dépôt des vidéos sur le Cloud de la classe et/ou de l’établissement après vérification et évaluation de la part de l’enseignant. </w:t>
      </w:r>
      <w:r/>
    </w:p>
    <w:p>
      <w:pPr>
        <w:jc w:val="both"/>
        <w:rPr>
          <w:b/>
        </w:rPr>
        <w:pBdr>
          <w:left w:val="single" w:sz="4" w:space="4" w:color="auto"/>
          <w:top w:val="single" w:sz="4" w:space="1" w:color="auto"/>
          <w:right w:val="single" w:sz="4" w:space="4" w:color="auto"/>
          <w:bottom w:val="single" w:sz="4" w:space="1" w:color="auto"/>
        </w:pBdr>
      </w:pPr>
      <w:r>
        <w:rPr>
          <w:b/>
        </w:rPr>
        <w:t xml:space="preserve">Grille d’évaluation &amp; lien avec les compétences PIX</w:t>
      </w:r>
      <w:r/>
    </w:p>
    <w:p>
      <w:pPr>
        <w:jc w:val="both"/>
      </w:pPr>
      <w:r/>
      <w:r/>
    </w:p>
    <w:p>
      <w:pPr>
        <w:jc w:val="both"/>
        <w:rPr>
          <w:i/>
          <w:u w:val="single"/>
        </w:rPr>
      </w:pPr>
      <w:r>
        <w:rPr>
          <w:i/>
          <w:u w:val="single"/>
        </w:rPr>
        <w:t xml:space="preserve">Evaluation dans le cadre de l’EMC (matière inclue dans le contrôle continu du baccalauréat)</w:t>
      </w:r>
      <w:r/>
    </w:p>
    <w:p>
      <w:pPr>
        <w:jc w:val="both"/>
      </w:pPr>
      <w:r/>
      <w:r/>
    </w:p>
    <w:p>
      <w:pPr>
        <w:jc w:val="both"/>
        <w:rPr>
          <w:b/>
        </w:rPr>
      </w:pPr>
      <w:r>
        <w:t xml:space="preserve">Pour évaluer le travail fourni durant cette séance il est possible d’utiliser la grille d’évaluation du </w:t>
      </w:r>
      <w:r>
        <w:rPr>
          <w:b/>
        </w:rPr>
        <w:t xml:space="preserve">Grand Oral (items 1, 2 &amp; 5)</w:t>
      </w:r>
      <w:r/>
    </w:p>
    <w:p>
      <w:pPr>
        <w:jc w:val="both"/>
        <w:rPr>
          <w:b/>
        </w:rPr>
      </w:pPr>
      <w:r>
        <w:rPr>
          <w:b/>
        </w:rPr>
      </w:r>
      <w:r/>
    </w:p>
    <w:p>
      <w:pPr>
        <w:jc w:val="center"/>
      </w:pPr>
      <w:r>
        <mc:AlternateContent>
          <mc:Choice Requires="wpg">
            <w:drawing>
              <wp:anchor xmlns:wp="http://schemas.openxmlformats.org/drawingml/2006/wordprocessingDrawing" distT="0" distB="0" distL="114300" distR="114300" simplePos="0" relativeHeight="251661312" behindDoc="0" locked="0" layoutInCell="1" allowOverlap="1">
                <wp:simplePos x="0" y="0"/>
                <wp:positionH relativeFrom="column">
                  <wp:posOffset>5372100</wp:posOffset>
                </wp:positionH>
                <wp:positionV relativeFrom="paragraph">
                  <wp:posOffset>207645</wp:posOffset>
                </wp:positionV>
                <wp:extent cx="1143000" cy="4686300"/>
                <wp:effectExtent l="0" t="0" r="25400" b="38100"/>
                <wp:wrapNone/>
                <wp:docPr id="3" name="Zone de texte 4"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1143000" cy="4686300"/>
                        </a:xfrm>
                        <a:prstGeom prst="rect">
                          <a:avLst/>
                        </a:prstGeom>
                        <a:noFill/>
                        <a:ln w="25400">
                          <a:solidFill>
                            <a:schemeClr val="tx1"/>
                          </a:solidFill>
                        </a:ln>
                      </wps:spPr>
                      <wps:style>
                        <a:lnRef idx="0">
                          <a:schemeClr val="accent1"/>
                        </a:lnRef>
                        <a:fillRef idx="0">
                          <a:schemeClr val="accent1"/>
                        </a:fillRef>
                        <a:effectRef idx="0">
                          <a:schemeClr val="accent1"/>
                        </a:effectRef>
                        <a:fontRef idx="minor">
                          <a:schemeClr val="dk1"/>
                        </a:fontRef>
                      </wps:style>
                      <wps:txbx>
                        <w:txbxContent>
                          <w:p>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2" o:spid="_x0000_s2" o:spt="1" style="position:absolute;mso-wrap-distance-left:9.0pt;mso-wrap-distance-top:0.0pt;mso-wrap-distance-right:9.0pt;mso-wrap-distance-bottom:0.0pt;z-index:251661312;o:allowoverlap:true;o:allowincell:true;mso-position-horizontal-relative:text;margin-left:423.0pt;mso-position-horizontal:absolute;mso-position-vertical-relative:text;margin-top:16.3pt;mso-position-vertical:absolute;width:90.0pt;height:369.0pt;v-text-anchor:top;" coordsize="100000,100000" path="" filled="f" strokecolor="#000000" strokeweight="2.00pt">
                <v:path textboxrect="0,0,0,0"/>
                <v:textbox>
                  <w:txbxContent>
                    <w:p>
                      <w:r/>
                      <w:r/>
                    </w:p>
                  </w:txbxContent>
                </v:textbox>
              </v:shape>
            </w:pict>
          </mc:Fallback>
        </mc:AlternateContent>
      </w:r>
      <w: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column">
                  <wp:posOffset>228600</wp:posOffset>
                </wp:positionH>
                <wp:positionV relativeFrom="paragraph">
                  <wp:posOffset>207645</wp:posOffset>
                </wp:positionV>
                <wp:extent cx="2971800" cy="4686300"/>
                <wp:effectExtent l="0" t="0" r="25400" b="38100"/>
                <wp:wrapNone/>
                <wp:docPr id="4" name="Zone de texte 3"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2971800" cy="4686300"/>
                        </a:xfrm>
                        <a:prstGeom prst="rect">
                          <a:avLst/>
                        </a:prstGeom>
                        <a:noFill/>
                        <a:ln w="25400">
                          <a:solidFill>
                            <a:schemeClr val="tx1"/>
                          </a:solidFill>
                        </a:ln>
                      </wps:spPr>
                      <wps:style>
                        <a:lnRef idx="0">
                          <a:schemeClr val="accent1"/>
                        </a:lnRef>
                        <a:fillRef idx="0">
                          <a:schemeClr val="accent1"/>
                        </a:fillRef>
                        <a:effectRef idx="0">
                          <a:schemeClr val="accent1"/>
                        </a:effectRef>
                        <a:fontRef idx="minor">
                          <a:schemeClr val="dk1"/>
                        </a:fontRef>
                      </wps:style>
                      <wps:txbx>
                        <w:txbxContent>
                          <w:p>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3" o:spid="_x0000_s3" o:spt="1" style="position:absolute;mso-wrap-distance-left:9.0pt;mso-wrap-distance-top:0.0pt;mso-wrap-distance-right:9.0pt;mso-wrap-distance-bottom:0.0pt;z-index:251659264;o:allowoverlap:true;o:allowincell:true;mso-position-horizontal-relative:text;margin-left:18.0pt;mso-position-horizontal:absolute;mso-position-vertical-relative:text;margin-top:16.3pt;mso-position-vertical:absolute;width:234.0pt;height:369.0pt;v-text-anchor:top;" coordsize="100000,100000" path="" filled="f" strokecolor="#000000" strokeweight="2.00pt">
                <v:path textboxrect="0,0,0,0"/>
                <v:textbox>
                  <w:txbxContent>
                    <w:p>
                      <w:r/>
                      <w:r/>
                    </w:p>
                  </w:txbxContent>
                </v:textbox>
              </v:shape>
            </w:pict>
          </mc:Fallback>
        </mc:AlternateContent>
      </w:r>
      <w:r>
        <mc:AlternateContent>
          <mc:Choice Requires="wpg">
            <w:drawing>
              <wp:inline xmlns:wp="http://schemas.openxmlformats.org/drawingml/2006/wordprocessingDrawing" distT="0" distB="0" distL="0" distR="0">
                <wp:extent cx="6304987" cy="4949355"/>
                <wp:effectExtent l="0" t="0" r="0" b="3810"/>
                <wp:docPr id="5" name="Image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file-20200220-92558-1drz991.jpg" hidden="0"/>
                        <pic:cNvPicPr>
                          <a:picLocks noChangeAspect="1"/>
                        </pic:cNvPicPr>
                        <pic:nvPr isPhoto="0" userDrawn="0"/>
                      </pic:nvPicPr>
                      <pic:blipFill>
                        <a:blip r:embed="rId13"/>
                        <a:stretch/>
                      </pic:blipFill>
                      <pic:spPr bwMode="auto">
                        <a:xfrm>
                          <a:off x="0" y="0"/>
                          <a:ext cx="6304987" cy="494935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496.5pt;height:389.7pt;" stroked="false">
                <v:path textboxrect="0,0,0,0"/>
                <v:imagedata r:id="rId13" o:title=""/>
              </v:shape>
            </w:pict>
          </mc:Fallback>
        </mc:AlternateContent>
      </w:r>
      <w:r/>
    </w:p>
    <w:p>
      <w:pPr>
        <w:rPr>
          <w:rFonts w:eastAsia="Times New Roman"/>
        </w:rPr>
      </w:pPr>
      <w:r>
        <w:t xml:space="preserve">Source : </w:t>
      </w:r>
      <w:hyperlink r:id="rId14" w:tooltip="https://www.education.gouv.fr/pid285/bulletin_officiel.html?cid_bo=149115" w:history="1">
        <w:r>
          <w:rPr>
            <w:rStyle w:val="494"/>
            <w:rFonts w:ascii="Helvetica Neue" w:hAnsi="Helvetica Neue" w:eastAsia="Times New Roman"/>
            <w:color w:val="555768"/>
            <w:sz w:val="17"/>
            <w:szCs w:val="17"/>
          </w:rPr>
          <w:t xml:space="preserve">Bulletin officiel spécial n° 2 du 13 février 2020</w:t>
        </w:r>
      </w:hyperlink>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center"/>
        <w:rPr>
          <w:b/>
        </w:rPr>
      </w:pPr>
      <w:r>
        <w:rPr>
          <w:b/>
        </w:rPr>
        <w:t xml:space="preserve">Grille </w:t>
      </w:r>
      <w:r>
        <w:rPr>
          <w:b/>
        </w:rPr>
        <w:t xml:space="preserve">d’évaluation pour l’enseignant</w:t>
      </w:r>
      <w:r>
        <w:rPr>
          <w:b/>
        </w:rPr>
        <w:t xml:space="preserve"> (sous forme de compétences)</w:t>
      </w:r>
      <w:r>
        <w:rPr>
          <w:b/>
        </w:rPr>
        <w:t xml:space="preserve"> :</w:t>
      </w:r>
      <w:r/>
    </w:p>
    <w:p>
      <w:pPr>
        <w:jc w:val="both"/>
      </w:pPr>
      <w:r/>
      <w:r/>
    </w:p>
    <w:p>
      <w:pPr>
        <w:jc w:val="both"/>
      </w:pPr>
      <w:r>
        <w:t xml:space="preserve">(Il est tout à fait possible de réaliser un barème plutôt qu’une évaluation sous forme de compétences)</w:t>
      </w:r>
      <w:r/>
    </w:p>
    <w:p>
      <w:pPr>
        <w:jc w:val="both"/>
      </w:pPr>
      <w:r/>
      <w:r/>
    </w:p>
    <w:p>
      <w:pPr>
        <w:jc w:val="both"/>
      </w:pPr>
      <w:r>
        <mc:AlternateContent>
          <mc:Choice Requires="wpg">
            <w:drawing>
              <wp:anchor xmlns:wp="http://schemas.openxmlformats.org/drawingml/2006/wordprocessingDrawing" distT="0" distB="0" distL="114300" distR="114300" simplePos="0" relativeHeight="251662336" behindDoc="0" locked="0" layoutInCell="1" allowOverlap="1">
                <wp:simplePos x="0" y="0"/>
                <wp:positionH relativeFrom="column">
                  <wp:posOffset>-114300</wp:posOffset>
                </wp:positionH>
                <wp:positionV relativeFrom="paragraph">
                  <wp:posOffset>55245</wp:posOffset>
                </wp:positionV>
                <wp:extent cx="6972300" cy="3543300"/>
                <wp:effectExtent l="0" t="0" r="38100" b="38100"/>
                <wp:wrapNone/>
                <wp:docPr id="6" name="Zone de texte 5"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6972300" cy="3543300"/>
                        </a:xfrm>
                        <a:prstGeom prst="rect">
                          <a:avLst/>
                        </a:prstGeom>
                        <a:noFill/>
                        <a:ln w="19050">
                          <a:solidFill>
                            <a:schemeClr val="tx1"/>
                          </a:solidFill>
                        </a:ln>
                      </wps:spPr>
                      <wps:style>
                        <a:lnRef idx="0">
                          <a:schemeClr val="accent1"/>
                        </a:lnRef>
                        <a:fillRef idx="0">
                          <a:schemeClr val="accent1"/>
                        </a:fillRef>
                        <a:effectRef idx="0">
                          <a:schemeClr val="accent1"/>
                        </a:effectRef>
                        <a:fontRef idx="minor">
                          <a:schemeClr val="dk1"/>
                        </a:fontRef>
                      </wps:style>
                      <wps:txbx>
                        <w:txbxContent>
                          <w:p>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5" o:spid="_x0000_s5" o:spt="1" style="position:absolute;mso-wrap-distance-left:9.0pt;mso-wrap-distance-top:0.0pt;mso-wrap-distance-right:9.0pt;mso-wrap-distance-bottom:0.0pt;z-index:251662336;o:allowoverlap:true;o:allowincell:true;mso-position-horizontal-relative:text;margin-left:-9.0pt;mso-position-horizontal:absolute;mso-position-vertical-relative:text;margin-top:4.3pt;mso-position-vertical:absolute;width:549.0pt;height:279.0pt;v-text-anchor:top;" coordsize="100000,100000" path="" filled="f" strokecolor="#000000" strokeweight="1.50pt">
                <v:path textboxrect="0,0,0,0"/>
                <v:textbox>
                  <w:txbxContent>
                    <w:p>
                      <w:r/>
                      <w:r/>
                    </w:p>
                  </w:txbxContent>
                </v:textbox>
              </v:shape>
            </w:pict>
          </mc:Fallback>
        </mc:AlternateContent>
      </w:r>
      <w:r/>
    </w:p>
    <w:p>
      <w:pPr>
        <w:jc w:val="both"/>
      </w:pPr>
      <w:r>
        <w:t xml:space="preserve">Nom </w:t>
      </w:r>
      <w:r>
        <w:t xml:space="preserve">: ………………………………………………..</w:t>
      </w:r>
      <w:r>
        <w:t xml:space="preserve">    Prénom : …………………………………… Classe </w:t>
      </w:r>
      <w:r>
        <w:t xml:space="preserve">: …………………..</w:t>
      </w:r>
      <w:r/>
    </w:p>
    <w:p>
      <w:pPr>
        <w:jc w:val="both"/>
      </w:pPr>
      <w:r/>
      <w:r/>
    </w:p>
    <w:p>
      <w:pPr>
        <w:jc w:val="both"/>
      </w:pPr>
      <w:r/>
      <w:r/>
    </w:p>
    <w:tbl>
      <w:tblPr>
        <w:tblStyle w:val="502"/>
        <w:tblW w:w="0" w:type="auto"/>
        <w:tblLook w:val="04A0" w:firstRow="1" w:lastRow="0" w:firstColumn="1" w:lastColumn="0" w:noHBand="0" w:noVBand="1"/>
      </w:tblPr>
      <w:tblGrid>
        <w:gridCol w:w="1520"/>
        <w:gridCol w:w="1725"/>
        <w:gridCol w:w="1718"/>
        <w:gridCol w:w="2001"/>
        <w:gridCol w:w="1826"/>
        <w:gridCol w:w="1886"/>
      </w:tblGrid>
      <w:tr>
        <w:trPr/>
        <w:tc>
          <w:tcPr>
            <w:shd w:val="clear" w:color="auto" w:fill="D9D9D9" w:themeFill="background1" w:themeFillShade="D9"/>
            <w:tcW w:w="1526" w:type="dxa"/>
            <w:textDirection w:val="lrTb"/>
            <w:noWrap w:val="false"/>
          </w:tcPr>
          <w:p>
            <w:pPr>
              <w:jc w:val="center"/>
            </w:pPr>
            <w:r/>
            <w:r/>
          </w:p>
        </w:tc>
        <w:tc>
          <w:tcPr>
            <w:shd w:val="clear" w:color="auto" w:fill="D9D9D9" w:themeFill="background1" w:themeFillShade="D9"/>
            <w:tcW w:w="1843" w:type="dxa"/>
            <w:textDirection w:val="lrTb"/>
            <w:noWrap w:val="false"/>
          </w:tcPr>
          <w:p>
            <w:pPr>
              <w:jc w:val="center"/>
              <w:rPr>
                <w:b/>
              </w:rPr>
            </w:pPr>
            <w:r>
              <w:rPr>
                <w:b/>
              </w:rPr>
              <w:t xml:space="preserve">Qualité orale de l’épreuve</w:t>
            </w:r>
            <w:r/>
          </w:p>
        </w:tc>
        <w:tc>
          <w:tcPr>
            <w:shd w:val="clear" w:color="auto" w:fill="D9D9D9" w:themeFill="background1" w:themeFillShade="D9"/>
            <w:tcW w:w="1894" w:type="dxa"/>
            <w:textDirection w:val="lrTb"/>
            <w:noWrap w:val="false"/>
          </w:tcPr>
          <w:p>
            <w:pPr>
              <w:jc w:val="center"/>
              <w:rPr>
                <w:b/>
              </w:rPr>
            </w:pPr>
            <w:r>
              <w:rPr>
                <w:b/>
              </w:rPr>
              <w:t xml:space="preserve">Qualité de la prise de parole</w:t>
            </w:r>
            <w:r/>
          </w:p>
        </w:tc>
        <w:tc>
          <w:tcPr>
            <w:shd w:val="clear" w:color="auto" w:fill="D9D9D9" w:themeFill="background1" w:themeFillShade="D9"/>
            <w:tcW w:w="1880" w:type="dxa"/>
            <w:textDirection w:val="lrTb"/>
            <w:noWrap w:val="false"/>
          </w:tcPr>
          <w:p>
            <w:pPr>
              <w:jc w:val="center"/>
              <w:rPr>
                <w:b/>
              </w:rPr>
            </w:pPr>
            <w:r>
              <w:rPr>
                <w:b/>
              </w:rPr>
              <w:t xml:space="preserve">Qualité et </w:t>
            </w:r>
            <w:r>
              <w:rPr>
                <w:b/>
              </w:rPr>
              <w:t xml:space="preserve">construction de l’argumentation</w:t>
            </w:r>
            <w:r/>
          </w:p>
        </w:tc>
        <w:tc>
          <w:tcPr>
            <w:shd w:val="clear" w:color="auto" w:fill="D9D9D9" w:themeFill="background1" w:themeFillShade="D9"/>
            <w:tcW w:w="1766" w:type="dxa"/>
            <w:textDirection w:val="lrTb"/>
            <w:noWrap w:val="false"/>
          </w:tcPr>
          <w:p>
            <w:pPr>
              <w:jc w:val="center"/>
              <w:rPr>
                <w:b/>
              </w:rPr>
            </w:pPr>
            <w:r>
              <w:rPr>
                <w:b/>
              </w:rPr>
              <w:t xml:space="preserve">Variété et fiabilité des sources, diversification des supports utilisés</w:t>
            </w:r>
            <w:r/>
          </w:p>
        </w:tc>
        <w:tc>
          <w:tcPr>
            <w:shd w:val="clear" w:color="auto" w:fill="D9D9D9" w:themeFill="background1" w:themeFillShade="D9"/>
            <w:tcW w:w="1767" w:type="dxa"/>
            <w:textDirection w:val="lrTb"/>
            <w:noWrap w:val="false"/>
          </w:tcPr>
          <w:p>
            <w:pPr>
              <w:jc w:val="center"/>
              <w:rPr>
                <w:b/>
              </w:rPr>
            </w:pPr>
            <w:r>
              <w:rPr>
                <w:b/>
              </w:rPr>
              <w:t xml:space="preserve">Implication et investissement  de l’élève au cours du projet</w:t>
            </w:r>
            <w:r/>
          </w:p>
        </w:tc>
      </w:tr>
      <w:tr>
        <w:trPr/>
        <w:tc>
          <w:tcPr>
            <w:shd w:val="clear" w:color="auto" w:fill="D9D9D9" w:themeFill="background1" w:themeFillShade="D9"/>
            <w:tcW w:w="1526" w:type="dxa"/>
            <w:textDirection w:val="lrTb"/>
            <w:noWrap w:val="false"/>
          </w:tcPr>
          <w:p>
            <w:pPr>
              <w:jc w:val="center"/>
              <w:rPr>
                <w:b/>
              </w:rPr>
            </w:pPr>
            <w:r>
              <w:rPr>
                <w:b/>
              </w:rPr>
              <w:t xml:space="preserve">Très</w:t>
            </w:r>
            <w:r/>
          </w:p>
          <w:p>
            <w:pPr>
              <w:jc w:val="center"/>
              <w:rPr>
                <w:b/>
              </w:rPr>
            </w:pPr>
            <w:r>
              <w:rPr>
                <w:b/>
              </w:rPr>
              <w:t xml:space="preserve">insuffisant</w:t>
            </w:r>
            <w:r/>
          </w:p>
        </w:tc>
        <w:tc>
          <w:tcPr>
            <w:tcW w:w="1843" w:type="dxa"/>
            <w:textDirection w:val="lrTb"/>
            <w:noWrap w:val="false"/>
          </w:tcPr>
          <w:p>
            <w:pPr>
              <w:jc w:val="both"/>
            </w:pPr>
            <w:r/>
            <w:r/>
          </w:p>
        </w:tc>
        <w:tc>
          <w:tcPr>
            <w:tcW w:w="1894" w:type="dxa"/>
            <w:textDirection w:val="lrTb"/>
            <w:noWrap w:val="false"/>
          </w:tcPr>
          <w:p>
            <w:pPr>
              <w:jc w:val="both"/>
            </w:pPr>
            <w:r/>
            <w:r/>
          </w:p>
        </w:tc>
        <w:tc>
          <w:tcPr>
            <w:tcW w:w="1880" w:type="dxa"/>
            <w:textDirection w:val="lrTb"/>
            <w:noWrap w:val="false"/>
          </w:tcPr>
          <w:p>
            <w:pPr>
              <w:jc w:val="both"/>
            </w:pPr>
            <w:r/>
            <w:r/>
          </w:p>
        </w:tc>
        <w:tc>
          <w:tcPr>
            <w:tcW w:w="1766" w:type="dxa"/>
            <w:textDirection w:val="lrTb"/>
            <w:noWrap w:val="false"/>
          </w:tcPr>
          <w:p>
            <w:pPr>
              <w:jc w:val="both"/>
            </w:pPr>
            <w:r/>
            <w:r/>
          </w:p>
        </w:tc>
        <w:tc>
          <w:tcPr>
            <w:tcW w:w="1767" w:type="dxa"/>
            <w:textDirection w:val="lrTb"/>
            <w:noWrap w:val="false"/>
          </w:tcPr>
          <w:p>
            <w:pPr>
              <w:jc w:val="both"/>
            </w:pPr>
            <w:r/>
            <w:r/>
          </w:p>
        </w:tc>
      </w:tr>
      <w:tr>
        <w:trPr/>
        <w:tc>
          <w:tcPr>
            <w:shd w:val="clear" w:color="auto" w:fill="D9D9D9" w:themeFill="background1" w:themeFillShade="D9"/>
            <w:tcW w:w="1526" w:type="dxa"/>
            <w:textDirection w:val="lrTb"/>
            <w:noWrap w:val="false"/>
          </w:tcPr>
          <w:p>
            <w:pPr>
              <w:jc w:val="center"/>
              <w:rPr>
                <w:b/>
              </w:rPr>
            </w:pPr>
            <w:r>
              <w:rPr>
                <w:b/>
              </w:rPr>
              <w:t xml:space="preserve">Insuffisant</w:t>
            </w:r>
            <w:r/>
          </w:p>
          <w:p>
            <w:pPr>
              <w:jc w:val="center"/>
              <w:rPr>
                <w:b/>
              </w:rPr>
            </w:pPr>
            <w:r>
              <w:rPr>
                <w:b/>
              </w:rPr>
            </w:r>
            <w:r/>
          </w:p>
        </w:tc>
        <w:tc>
          <w:tcPr>
            <w:tcW w:w="1843" w:type="dxa"/>
            <w:textDirection w:val="lrTb"/>
            <w:noWrap w:val="false"/>
          </w:tcPr>
          <w:p>
            <w:pPr>
              <w:jc w:val="both"/>
            </w:pPr>
            <w:r/>
            <w:r/>
          </w:p>
        </w:tc>
        <w:tc>
          <w:tcPr>
            <w:tcW w:w="1894" w:type="dxa"/>
            <w:textDirection w:val="lrTb"/>
            <w:noWrap w:val="false"/>
          </w:tcPr>
          <w:p>
            <w:pPr>
              <w:jc w:val="both"/>
            </w:pPr>
            <w:r/>
            <w:r/>
          </w:p>
        </w:tc>
        <w:tc>
          <w:tcPr>
            <w:tcW w:w="1880" w:type="dxa"/>
            <w:textDirection w:val="lrTb"/>
            <w:noWrap w:val="false"/>
          </w:tcPr>
          <w:p>
            <w:pPr>
              <w:jc w:val="both"/>
            </w:pPr>
            <w:r/>
            <w:r/>
          </w:p>
        </w:tc>
        <w:tc>
          <w:tcPr>
            <w:tcW w:w="1766" w:type="dxa"/>
            <w:textDirection w:val="lrTb"/>
            <w:noWrap w:val="false"/>
          </w:tcPr>
          <w:p>
            <w:pPr>
              <w:jc w:val="both"/>
            </w:pPr>
            <w:r/>
            <w:r/>
          </w:p>
        </w:tc>
        <w:tc>
          <w:tcPr>
            <w:tcW w:w="1767" w:type="dxa"/>
            <w:textDirection w:val="lrTb"/>
            <w:noWrap w:val="false"/>
          </w:tcPr>
          <w:p>
            <w:pPr>
              <w:jc w:val="both"/>
            </w:pPr>
            <w:r/>
            <w:r/>
          </w:p>
        </w:tc>
      </w:tr>
      <w:tr>
        <w:trPr/>
        <w:tc>
          <w:tcPr>
            <w:shd w:val="clear" w:color="auto" w:fill="D9D9D9" w:themeFill="background1" w:themeFillShade="D9"/>
            <w:tcW w:w="1526" w:type="dxa"/>
            <w:textDirection w:val="lrTb"/>
            <w:noWrap w:val="false"/>
          </w:tcPr>
          <w:p>
            <w:pPr>
              <w:jc w:val="center"/>
              <w:rPr>
                <w:b/>
              </w:rPr>
            </w:pPr>
            <w:r>
              <w:rPr>
                <w:b/>
              </w:rPr>
              <w:t xml:space="preserve">Satisfaisant</w:t>
            </w:r>
            <w:r/>
          </w:p>
          <w:p>
            <w:pPr>
              <w:jc w:val="center"/>
              <w:rPr>
                <w:b/>
              </w:rPr>
            </w:pPr>
            <w:r>
              <w:rPr>
                <w:b/>
              </w:rPr>
            </w:r>
            <w:r/>
          </w:p>
        </w:tc>
        <w:tc>
          <w:tcPr>
            <w:tcW w:w="1843" w:type="dxa"/>
            <w:textDirection w:val="lrTb"/>
            <w:noWrap w:val="false"/>
          </w:tcPr>
          <w:p>
            <w:pPr>
              <w:jc w:val="both"/>
            </w:pPr>
            <w:r/>
            <w:r/>
          </w:p>
        </w:tc>
        <w:tc>
          <w:tcPr>
            <w:tcW w:w="1894" w:type="dxa"/>
            <w:textDirection w:val="lrTb"/>
            <w:noWrap w:val="false"/>
          </w:tcPr>
          <w:p>
            <w:pPr>
              <w:jc w:val="both"/>
            </w:pPr>
            <w:r/>
            <w:r/>
          </w:p>
        </w:tc>
        <w:tc>
          <w:tcPr>
            <w:tcW w:w="1880" w:type="dxa"/>
            <w:textDirection w:val="lrTb"/>
            <w:noWrap w:val="false"/>
          </w:tcPr>
          <w:p>
            <w:pPr>
              <w:jc w:val="both"/>
            </w:pPr>
            <w:r/>
            <w:r/>
          </w:p>
        </w:tc>
        <w:tc>
          <w:tcPr>
            <w:tcW w:w="1766" w:type="dxa"/>
            <w:textDirection w:val="lrTb"/>
            <w:noWrap w:val="false"/>
          </w:tcPr>
          <w:p>
            <w:pPr>
              <w:jc w:val="both"/>
            </w:pPr>
            <w:r/>
            <w:r/>
          </w:p>
        </w:tc>
        <w:tc>
          <w:tcPr>
            <w:tcW w:w="1767" w:type="dxa"/>
            <w:textDirection w:val="lrTb"/>
            <w:noWrap w:val="false"/>
          </w:tcPr>
          <w:p>
            <w:pPr>
              <w:jc w:val="both"/>
            </w:pPr>
            <w:r/>
            <w:r/>
          </w:p>
        </w:tc>
      </w:tr>
      <w:tr>
        <w:trPr/>
        <w:tc>
          <w:tcPr>
            <w:shd w:val="clear" w:color="auto" w:fill="D9D9D9" w:themeFill="background1" w:themeFillShade="D9"/>
            <w:tcW w:w="1526" w:type="dxa"/>
            <w:textDirection w:val="lrTb"/>
            <w:noWrap w:val="false"/>
          </w:tcPr>
          <w:p>
            <w:pPr>
              <w:jc w:val="center"/>
              <w:rPr>
                <w:b/>
              </w:rPr>
            </w:pPr>
            <w:r>
              <w:rPr>
                <w:b/>
              </w:rPr>
              <w:t xml:space="preserve">Très satisfaisant</w:t>
            </w:r>
            <w:r/>
          </w:p>
          <w:p>
            <w:pPr>
              <w:jc w:val="center"/>
              <w:rPr>
                <w:b/>
              </w:rPr>
            </w:pPr>
            <w:r>
              <w:rPr>
                <w:b/>
              </w:rPr>
            </w:r>
            <w:r/>
          </w:p>
        </w:tc>
        <w:tc>
          <w:tcPr>
            <w:tcW w:w="1843" w:type="dxa"/>
            <w:textDirection w:val="lrTb"/>
            <w:noWrap w:val="false"/>
          </w:tcPr>
          <w:p>
            <w:pPr>
              <w:jc w:val="both"/>
            </w:pPr>
            <w:r/>
            <w:r/>
          </w:p>
        </w:tc>
        <w:tc>
          <w:tcPr>
            <w:tcW w:w="1894" w:type="dxa"/>
            <w:textDirection w:val="lrTb"/>
            <w:noWrap w:val="false"/>
          </w:tcPr>
          <w:p>
            <w:pPr>
              <w:jc w:val="both"/>
            </w:pPr>
            <w:r/>
            <w:r/>
          </w:p>
        </w:tc>
        <w:tc>
          <w:tcPr>
            <w:tcW w:w="1880" w:type="dxa"/>
            <w:textDirection w:val="lrTb"/>
            <w:noWrap w:val="false"/>
          </w:tcPr>
          <w:p>
            <w:pPr>
              <w:jc w:val="both"/>
            </w:pPr>
            <w:r/>
            <w:r/>
          </w:p>
        </w:tc>
        <w:tc>
          <w:tcPr>
            <w:tcW w:w="1766" w:type="dxa"/>
            <w:textDirection w:val="lrTb"/>
            <w:noWrap w:val="false"/>
          </w:tcPr>
          <w:p>
            <w:pPr>
              <w:jc w:val="both"/>
            </w:pPr>
            <w:r/>
            <w:r/>
          </w:p>
        </w:tc>
        <w:tc>
          <w:tcPr>
            <w:tcW w:w="1767" w:type="dxa"/>
            <w:textDirection w:val="lrTb"/>
            <w:noWrap w:val="false"/>
          </w:tcPr>
          <w:p>
            <w:pPr>
              <w:jc w:val="both"/>
            </w:pPr>
            <w:r/>
            <w:r/>
          </w:p>
        </w:tc>
      </w:tr>
    </w:tbl>
    <w:p>
      <w:pPr>
        <w:jc w:val="both"/>
      </w:pPr>
      <w:r/>
      <w:r/>
    </w:p>
    <w:p>
      <w:pPr>
        <w:jc w:val="both"/>
        <w:rPr>
          <w:i/>
          <w:u w:val="single"/>
        </w:rPr>
      </w:pPr>
      <w:r>
        <w:rPr>
          <w:i/>
          <w:u w:val="single"/>
        </w:rPr>
      </w:r>
      <w:r/>
    </w:p>
    <w:p>
      <w:pPr>
        <w:jc w:val="both"/>
        <w:rPr>
          <w:i/>
          <w:u w:val="single"/>
        </w:rPr>
      </w:pPr>
      <w:r>
        <w:rPr>
          <w:i/>
          <w:u w:val="single"/>
        </w:rPr>
        <w:t xml:space="preserve">Compétences mobilisées au cours de la séquence et transposables aux</w:t>
      </w:r>
      <w:r>
        <w:rPr>
          <w:i/>
          <w:u w:val="single"/>
        </w:rPr>
        <w:t xml:space="preserve"> </w:t>
      </w:r>
      <w:r>
        <w:rPr>
          <w:b/>
          <w:i/>
          <w:u w:val="single"/>
        </w:rPr>
        <w:t xml:space="preserve">compétences</w:t>
      </w:r>
      <w:r>
        <w:rPr>
          <w:b/>
          <w:i/>
          <w:u w:val="single"/>
        </w:rPr>
        <w:t xml:space="preserve"> du référentiel</w:t>
      </w:r>
      <w:r>
        <w:rPr>
          <w:b/>
          <w:i/>
          <w:u w:val="single"/>
        </w:rPr>
        <w:t xml:space="preserve"> PIX</w:t>
      </w:r>
      <w:r/>
    </w:p>
    <w:p>
      <w:pPr>
        <w:jc w:val="both"/>
      </w:pPr>
      <w:r>
        <w:t xml:space="preserve">1. Informations et données</w:t>
      </w:r>
      <w:r/>
    </w:p>
    <w:p>
      <w:pPr>
        <w:jc w:val="both"/>
        <w:rPr>
          <w:b/>
          <w:bCs/>
        </w:rPr>
      </w:pPr>
      <w:r>
        <w:rPr>
          <w:b/>
          <w:bCs/>
        </w:rPr>
        <w:t xml:space="preserve">1.1. Mener une recherche et une veille d’information</w:t>
      </w:r>
      <w:r/>
    </w:p>
    <w:p>
      <w:pPr>
        <w:jc w:val="both"/>
      </w:pPr>
      <w:r>
        <w:t xml:space="preserve">Mener une recher</w:t>
      </w:r>
      <w:r>
        <w:t xml:space="preserve">che et une veille d’information pour répondre à un besoin d’information et se tenir au courant de l’actualité d’un sujet (avec un moteur de recherche, au sein d’un réseau social, par abonnement à des flux ou des lettres d’information, ou tout autre moyen).</w:t>
      </w:r>
      <w:r/>
    </w:p>
    <w:p>
      <w:pPr>
        <w:jc w:val="both"/>
        <w:rPr>
          <w:b/>
          <w:bCs/>
        </w:rPr>
      </w:pPr>
      <w:r>
        <w:rPr>
          <w:b/>
          <w:bCs/>
        </w:rPr>
        <w:t xml:space="preserve">THÉMATIQUES ASSOCIÉES</w:t>
      </w:r>
      <w:r/>
    </w:p>
    <w:p>
      <w:pPr>
        <w:jc w:val="both"/>
      </w:pPr>
      <w:r>
        <w:t xml:space="preserve">Web et navigation ; Moteur de recherche et requête ; Veille </w:t>
      </w:r>
      <w:r>
        <w:t xml:space="preserve">d’information, flux et curation ; Evaluation de l’information ; Source et citation ; Gouvernance d’internet et ouverture du web ; Abondance de l’information, filtrage et personnalisation ; Recul critique face à l’information et aux médias ; Droit d’auteur.</w:t>
      </w:r>
      <w:r/>
    </w:p>
    <w:p>
      <w:pPr>
        <w:jc w:val="both"/>
      </w:pPr>
      <w:r/>
      <w:r/>
    </w:p>
    <w:p>
      <w:pPr>
        <w:jc w:val="both"/>
      </w:pPr>
      <w:r>
        <w:t xml:space="preserve">2. Communication et collaboration</w:t>
      </w:r>
      <w:r/>
    </w:p>
    <w:p>
      <w:pPr>
        <w:jc w:val="both"/>
        <w:rPr>
          <w:b/>
          <w:bCs/>
        </w:rPr>
      </w:pPr>
      <w:r>
        <w:rPr>
          <w:b/>
          <w:bCs/>
        </w:rPr>
        <w:t xml:space="preserve">2.2. Partager et publier</w:t>
      </w:r>
      <w:r/>
    </w:p>
    <w:p>
      <w:pPr>
        <w:jc w:val="both"/>
      </w:pPr>
      <w:r>
        <w:t xml:space="preserve">Partager et publier des informations</w:t>
      </w:r>
      <w:r>
        <w:t xml:space="preserve"> et des contenus pour communiquer ses propres productions ou opinions, relayer celles des autres en contexte de communication publique (avec des plateformes de partage, des réseaux sociaux, des blogs, des espaces de forum et de commentaire, des CMS, etc.).</w:t>
      </w:r>
      <w:r/>
    </w:p>
    <w:p>
      <w:pPr>
        <w:jc w:val="both"/>
        <w:rPr>
          <w:b/>
          <w:bCs/>
        </w:rPr>
      </w:pPr>
      <w:r>
        <w:rPr>
          <w:b/>
          <w:bCs/>
        </w:rPr>
        <w:t xml:space="preserve">THÉMATIQUES ASSOCIÉES</w:t>
      </w:r>
      <w:r/>
    </w:p>
    <w:p>
      <w:pPr>
        <w:jc w:val="both"/>
      </w:pPr>
      <w:r>
        <w:t xml:space="preserve">Protocoles et modalités de partage ; Applications et services pour le partage ; Règles de publication et visibilité ; Réseaux sociaux ; Liberté d'expression et droit </w:t>
      </w:r>
      <w:r>
        <w:t xml:space="preserve">à l'information ; Formation en ligne ; Vie privée et confidentialité ; Identité numérique et signaux ; Pratiques sociales et participation citoyenne ; e- Réputation et influence ; Ecriture pour le web ; Codes de communication et netiquette ; Droit d'auteur</w:t>
      </w:r>
      <w:r/>
    </w:p>
    <w:p>
      <w:pPr>
        <w:jc w:val="both"/>
        <w:rPr>
          <w:b/>
          <w:bCs/>
        </w:rPr>
      </w:pPr>
      <w:r>
        <w:rPr>
          <w:b/>
          <w:bCs/>
        </w:rPr>
        <w:t xml:space="preserve">2.3. Collaborer</w:t>
      </w:r>
      <w:r/>
    </w:p>
    <w:p>
      <w:pPr>
        <w:jc w:val="both"/>
      </w:pPr>
      <w:r>
        <w:t xml:space="preserve">Collaborer dans un groupe pour réaliser un projet, </w:t>
      </w:r>
      <w:r>
        <w:t xml:space="preserve">co-produire</w:t>
      </w:r>
      <w:r>
        <w:t xml:space="preserve"> des ressources, des connaissances, des données, et pour apprendre (avec des plateformes de travail collaboratif et de partage de document, des éditeurs en ligne, des fonctionnalités de suivi de modifications ou de gestion de versions, etc.).</w:t>
      </w:r>
      <w:r/>
    </w:p>
    <w:p>
      <w:pPr>
        <w:jc w:val="both"/>
        <w:rPr>
          <w:b/>
        </w:rPr>
      </w:pPr>
      <w:r>
        <w:rPr>
          <w:b/>
          <w:bCs/>
        </w:rPr>
        <w:t xml:space="preserve">THÉMATIQUES ASSOCIÉES</w:t>
      </w:r>
      <w:r/>
    </w:p>
    <w:p>
      <w:pPr>
        <w:jc w:val="both"/>
      </w:pPr>
      <w:r>
        <w:t xml:space="preserve">Modalités de collaboration et rôles ; Applications et services de partage de document et d'édition en ligne ; Versions et révisions ; Droits d'accès et conflit d'accès ; Gestion de projet ; Droit d'auteur ; Vie connectée ; Vie privée et confidentialité</w:t>
      </w:r>
      <w:r/>
    </w:p>
    <w:p>
      <w:pPr>
        <w:jc w:val="both"/>
        <w:rPr>
          <w:b/>
          <w:bCs/>
        </w:rPr>
      </w:pPr>
      <w:r>
        <w:rPr>
          <w:b/>
          <w:bCs/>
        </w:rPr>
        <w:t xml:space="preserve">2.4. S’insérer dans le monde numérique</w:t>
      </w:r>
      <w:r/>
    </w:p>
    <w:p>
      <w:pPr>
        <w:jc w:val="both"/>
      </w:pPr>
      <w:r>
        <w:t xml:space="preserve">Maîtriser les stratégies et enjeux de la présence en ligne, et choisir ses pratiques pour se positionner en tant qu'acteur social, économique et citoyen dans le monde numérique, en lien avec ses règles, limites et pot</w:t>
      </w:r>
      <w:r>
        <w:t xml:space="preserve">entialités, et en accord avec des valeurs et/ou pour répondre à des objectifs (avec les réseaux sociaux et les outils permettant de développer une présence publique sur le web, et en lien avec la vie citoyenne, la vie professionnelle, la vie privée, etc.).</w:t>
      </w:r>
      <w:r/>
    </w:p>
    <w:p>
      <w:pPr>
        <w:jc w:val="both"/>
        <w:rPr>
          <w:b/>
          <w:bCs/>
        </w:rPr>
      </w:pPr>
      <w:r>
        <w:rPr>
          <w:b/>
          <w:bCs/>
        </w:rPr>
        <w:t xml:space="preserve">THÉMATIQUES ASSOCIÉES</w:t>
      </w:r>
      <w:r/>
    </w:p>
    <w:p>
      <w:pPr>
        <w:jc w:val="both"/>
      </w:pPr>
      <w:r>
        <w:t xml:space="preserve">Identité numérique et signaux ; e-Réputation et i</w:t>
      </w:r>
      <w:r>
        <w:t xml:space="preserve">nfluence ; Codes de communication et netiquette ; Pratiques sociales et participation citoyenne ; Modèles et stratégies économiques ; Questions éthiques et valeurs ; Gouvernance d'internet et ouverture du web ; Liberté d'expression et droit à l'information</w:t>
      </w:r>
      <w:r/>
    </w:p>
    <w:p>
      <w:pPr>
        <w:jc w:val="both"/>
      </w:pPr>
      <w:r>
        <w:t xml:space="preserve">3. Création de contenu</w:t>
      </w:r>
      <w:r/>
    </w:p>
    <w:p>
      <w:pPr>
        <w:jc w:val="both"/>
        <w:rPr>
          <w:b/>
          <w:bCs/>
        </w:rPr>
      </w:pPr>
      <w:r>
        <w:rPr>
          <w:b/>
          <w:bCs/>
        </w:rPr>
        <w:t xml:space="preserve">3.1. Développer des documents textuels</w:t>
      </w:r>
      <w:r/>
    </w:p>
    <w:p>
      <w:pPr>
        <w:jc w:val="both"/>
      </w:pPr>
      <w:r>
        <w:t xml:space="preserve">Produire des documents à contenu majoritairement textuel pour communiquer des idées, rendre compte et valoriser ses travaux (avec des logiciels de traitement de texte, de présentation, de création de page web, de carte conceptuelle, etc.).</w:t>
      </w:r>
      <w:r/>
    </w:p>
    <w:p>
      <w:pPr>
        <w:jc w:val="both"/>
        <w:rPr>
          <w:b/>
          <w:bCs/>
        </w:rPr>
      </w:pPr>
      <w:r>
        <w:rPr>
          <w:b/>
          <w:bCs/>
        </w:rPr>
        <w:t xml:space="preserve">THÉMATIQUES ASSOCIÉES</w:t>
      </w:r>
      <w:r/>
    </w:p>
    <w:p>
      <w:pPr>
        <w:jc w:val="both"/>
      </w:pPr>
      <w:r>
        <w:t xml:space="preserve">Applications d'édition de documents textuels ; Structure et séparation forme et contenu ; Illustration et intégration ; Charte graphique et identité visuelle ; Interopérabilité ; Ergonomie et réutilisabilité du document ; Accessibilité ; Droit d'auteur</w:t>
      </w:r>
      <w:r/>
    </w:p>
    <w:p>
      <w:pPr>
        <w:jc w:val="both"/>
        <w:rPr>
          <w:b/>
          <w:bCs/>
        </w:rPr>
      </w:pPr>
      <w:r>
        <w:rPr>
          <w:b/>
          <w:bCs/>
        </w:rPr>
        <w:t xml:space="preserve">3.2. Développer des documents multimédia</w:t>
      </w:r>
      <w:r/>
    </w:p>
    <w:p>
      <w:pPr>
        <w:jc w:val="both"/>
      </w:pPr>
      <w:r>
        <w:t xml:space="preserve">Développer des documents à contenu multimédia pour créer ses propres productions multimédia, enrichir ses créations majoritairement textuelles ou créer une </w:t>
      </w:r>
      <w:r>
        <w:t xml:space="preserve">oeuvre</w:t>
      </w:r>
      <w:r>
        <w:t xml:space="preserve"> transformative (</w:t>
      </w:r>
      <w:r>
        <w:t xml:space="preserve">mashup</w:t>
      </w:r>
      <w:r>
        <w:t xml:space="preserve">, remix, ...) (avec des logiciels de capture et d'édition d'image / son / vidéo / animation, des logiciels utiles aux </w:t>
      </w:r>
      <w:r>
        <w:t xml:space="preserve">pré-traitements</w:t>
      </w:r>
      <w:r>
        <w:t xml:space="preserve"> avant intégration, etc.).</w:t>
      </w:r>
      <w:r/>
    </w:p>
    <w:p>
      <w:pPr>
        <w:jc w:val="both"/>
        <w:rPr>
          <w:b/>
          <w:bCs/>
        </w:rPr>
      </w:pPr>
      <w:r>
        <w:rPr>
          <w:b/>
          <w:bCs/>
        </w:rPr>
        <w:t xml:space="preserve">THÉMATIQUES ASSOCIÉES</w:t>
      </w:r>
      <w:r/>
    </w:p>
    <w:p>
      <w:pPr>
        <w:jc w:val="both"/>
      </w:pPr>
      <w:r>
        <w:t xml:space="preserve">Applications d'édition de documents multimédia ; Capture son, image et vidéo et numérisation ; Interopérabilité ; Accessibilité ; Droit d'auteur ; Charte graphique et identité visuelle</w:t>
      </w:r>
      <w:r/>
    </w:p>
    <w:p>
      <w:pPr>
        <w:jc w:val="both"/>
      </w:pPr>
      <w:r/>
      <w:r/>
    </w:p>
    <w:p>
      <w:pPr>
        <w:jc w:val="both"/>
        <w:pBdr>
          <w:left w:val="single" w:sz="4" w:space="4" w:color="auto"/>
          <w:top w:val="single" w:sz="4" w:space="1" w:color="auto"/>
          <w:right w:val="single" w:sz="4" w:space="4" w:color="auto"/>
          <w:bottom w:val="single" w:sz="4" w:space="1" w:color="auto"/>
        </w:pBdr>
      </w:pPr>
      <w:r>
        <w:rPr>
          <w:b/>
        </w:rPr>
        <w:t xml:space="preserve">Support pour l’enseignant :</w:t>
      </w:r>
      <w:r>
        <w:rPr>
          <w:b/>
        </w:rPr>
        <w:t xml:space="preserve"> </w:t>
      </w:r>
      <w:bookmarkStart w:id="0" w:name="_GoBack"/>
      <w:r/>
      <w:bookmarkEnd w:id="0"/>
      <w:r>
        <w:t xml:space="preserve">(il est parfois nécessaire de faire un copier/coller des liens dans un navigateur plutôt que de cliquer directement dessus).</w:t>
      </w:r>
      <w:r/>
    </w:p>
    <w:p>
      <w:pPr>
        <w:pStyle w:val="493"/>
        <w:jc w:val="both"/>
      </w:pPr>
      <w:r/>
      <w:r/>
    </w:p>
    <w:p>
      <w:pPr>
        <w:pStyle w:val="493"/>
        <w:numPr>
          <w:ilvl w:val="0"/>
          <w:numId w:val="5"/>
        </w:numPr>
        <w:jc w:val="both"/>
      </w:pPr>
      <w:r>
        <w:t xml:space="preserve">Programme d’EMC pour la classe de terminale générale</w:t>
      </w:r>
      <w:r/>
    </w:p>
    <w:p>
      <w:pPr>
        <w:jc w:val="both"/>
      </w:pPr>
      <w:r/>
      <w:hyperlink r:id="rId15" w:tooltip="https://cache.media.education.gouv.fr/file/SPE8_MENJ_25_7_2019/89/7/spe244_annexe_1158897.pdf" w:history="1">
        <w:r>
          <w:rPr>
            <w:rStyle w:val="494"/>
          </w:rPr>
          <w:t xml:space="preserve">https://cache.media.education.gouv.fr/file/SPE8_MENJ_25_7_2019/89/7/spe244_annexe_1158897.pdf</w:t>
        </w:r>
      </w:hyperlink>
      <w:r/>
      <w:r/>
    </w:p>
    <w:p>
      <w:pPr>
        <w:pStyle w:val="493"/>
        <w:numPr>
          <w:ilvl w:val="0"/>
          <w:numId w:val="5"/>
        </w:numPr>
        <w:jc w:val="both"/>
      </w:pPr>
      <w:r>
        <w:t xml:space="preserve">Certification PIX</w:t>
      </w:r>
      <w:r/>
    </w:p>
    <w:p>
      <w:pPr>
        <w:jc w:val="both"/>
      </w:pPr>
      <w:r/>
      <w:hyperlink r:id="rId16" w:tooltip="https://eduscol.education.fr/721/cadre-de-reference-des-competences-numeriques" w:history="1">
        <w:r>
          <w:rPr>
            <w:rStyle w:val="494"/>
          </w:rPr>
          <w:t xml:space="preserve">https://eduscol.education.fr/721/cadre-de-reference-des-competences-numeriques</w:t>
        </w:r>
      </w:hyperlink>
      <w:r/>
      <w:r/>
    </w:p>
    <w:p>
      <w:pPr>
        <w:jc w:val="both"/>
      </w:pPr>
      <w:r/>
      <w:r/>
    </w:p>
    <w:p>
      <w:pPr>
        <w:pStyle w:val="493"/>
        <w:numPr>
          <w:ilvl w:val="0"/>
          <w:numId w:val="4"/>
        </w:numPr>
        <w:jc w:val="both"/>
      </w:pPr>
      <w:r>
        <w:t xml:space="preserve">Padlet</w:t>
      </w:r>
      <w:r>
        <w:t xml:space="preserve"> mis en place par le Livre Scolaire recensant un grand nombre d’outil pour l’éducation aux médias et particulièrement sur les </w:t>
      </w:r>
      <w:r>
        <w:t xml:space="preserve">Fake</w:t>
      </w:r>
      <w:r>
        <w:t xml:space="preserve"> News et théories </w:t>
      </w:r>
      <w:r>
        <w:t xml:space="preserve">complotistes</w:t>
      </w:r>
      <w:r>
        <w:t xml:space="preserve">. </w:t>
      </w:r>
      <w:r/>
    </w:p>
    <w:p>
      <w:pPr>
        <w:jc w:val="both"/>
        <w:rPr>
          <w:rStyle w:val="494"/>
        </w:rPr>
      </w:pPr>
      <w:r/>
      <w:hyperlink r:id="rId17" w:tooltip="https://padlet.com/Lelivrescolaire/klblfbdkd517phd1?utm_source=Newsletter+Lelivrescolaire.fr+-+Collège+et+Lycée&amp;utm_campaign=33e6cdf39a-EMAIL_CAMPAIGN_2020_09_RENTREE_COPY_01&amp;utm_medium=email&amp;utm_term=0_c5fe668fd3-33e6cdf39a-324970353" w:history="1">
        <w:r>
          <w:rPr>
            <w:rStyle w:val="494"/>
          </w:rPr>
          <w:t xml:space="preserve">https://padlet.com/Lelivrescolaire/klblfbdkd517phd1?utm_source=Newsletter+Lelivrescolaire.fr+-+Collège+et+Lycée&amp;utm_campaign=33e6cdf39a-EMAIL_CAMPAIGN_2020_09_RENTREE_COPY_01&amp;utm_medium=email&amp;utm_term=0_c5fe668fd3-33e6cdf39a-324970353</w:t>
        </w:r>
      </w:hyperlink>
      <w:r/>
      <w:r/>
    </w:p>
    <w:p>
      <w:pPr>
        <w:jc w:val="both"/>
        <w:rPr>
          <w:rStyle w:val="494"/>
        </w:rPr>
      </w:pPr>
      <w:r/>
      <w:r/>
    </w:p>
    <w:p>
      <w:pPr>
        <w:pStyle w:val="493"/>
        <w:numPr>
          <w:ilvl w:val="0"/>
          <w:numId w:val="4"/>
        </w:numPr>
        <w:jc w:val="both"/>
      </w:pPr>
      <w:r>
        <w:t xml:space="preserve">La Fabrique du mensonge – France TV (</w:t>
      </w:r>
      <w:r>
        <w:t xml:space="preserve">Félix </w:t>
      </w:r>
      <w:r>
        <w:t xml:space="preserve">Suffert</w:t>
      </w:r>
      <w:r>
        <w:t xml:space="preserve">-Lopez</w:t>
      </w:r>
      <w:r>
        <w:t xml:space="preserve"> et J</w:t>
      </w:r>
      <w:r>
        <w:t xml:space="preserve">acques </w:t>
      </w:r>
      <w:r>
        <w:t xml:space="preserve">Aragones</w:t>
      </w:r>
      <w:r>
        <w:t xml:space="preserve">) </w:t>
      </w:r>
      <w:hyperlink r:id="rId18" w:tooltip="https://www.france.tv/france-5/la-fabrique-du-mensonge/" w:history="1">
        <w:r>
          <w:rPr>
            <w:rStyle w:val="494"/>
          </w:rPr>
          <w:t xml:space="preserve">https://www.france.tv/france-5/la-fabrique-du-mensonge/</w:t>
        </w:r>
      </w:hyperlink>
      <w:r/>
      <w:r/>
    </w:p>
    <w:p>
      <w:pPr>
        <w:pStyle w:val="493"/>
        <w:jc w:val="both"/>
      </w:pPr>
      <w:r/>
      <w:r/>
    </w:p>
    <w:p>
      <w:pPr>
        <w:pStyle w:val="493"/>
        <w:numPr>
          <w:ilvl w:val="0"/>
          <w:numId w:val="4"/>
        </w:numPr>
        <w:jc w:val="both"/>
      </w:pPr>
      <w:r>
        <w:t xml:space="preserve">Site </w:t>
      </w:r>
      <w:r>
        <w:t xml:space="preserve">Internet de l’organisation </w:t>
      </w:r>
      <w:r>
        <w:t xml:space="preserve">Spicee</w:t>
      </w:r>
      <w:r>
        <w:t xml:space="preserve"> (rassemblant de journalistes luttant contre les </w:t>
      </w:r>
      <w:r>
        <w:t xml:space="preserve">Fake</w:t>
      </w:r>
      <w:r>
        <w:t xml:space="preserve"> News et la désinformation. Il est d’ailleurs possible de les faire intervenir en classe). </w:t>
      </w:r>
      <w:r/>
    </w:p>
    <w:p>
      <w:pPr>
        <w:jc w:val="both"/>
      </w:pPr>
      <w:r/>
      <w:hyperlink r:id="rId19" w:tooltip="https://www.spicee.com/fr/episode/la-traque-aux-conspi-68" w:history="1">
        <w:r>
          <w:rPr>
            <w:rStyle w:val="494"/>
          </w:rPr>
          <w:t xml:space="preserve">https://www.spicee.com/fr/episode/la-traque-aux-conspi-68</w:t>
        </w:r>
      </w:hyperlink>
      <w:r/>
      <w:r/>
    </w:p>
    <w:p>
      <w:pPr>
        <w:jc w:val="both"/>
      </w:pPr>
      <w:r/>
      <w:r/>
    </w:p>
    <w:p>
      <w:pPr>
        <w:pStyle w:val="493"/>
        <w:numPr>
          <w:ilvl w:val="0"/>
          <w:numId w:val="4"/>
        </w:numPr>
        <w:jc w:val="both"/>
      </w:pPr>
      <w:r>
        <w:t xml:space="preserve">Réactions de lycéens suite au visionnage de la vidéo </w:t>
      </w:r>
      <w:r>
        <w:t xml:space="preserve">complotiste</w:t>
      </w:r>
      <w:r>
        <w:t xml:space="preserve"> réalisée à l’aide des journalistes et intervenants de </w:t>
      </w:r>
      <w:r>
        <w:t xml:space="preserve">spicee</w:t>
      </w:r>
      <w:r/>
    </w:p>
    <w:p>
      <w:pPr>
        <w:jc w:val="both"/>
      </w:pPr>
      <w:r/>
      <w:hyperlink r:id="rId20" w:tooltip="https://www.reseau-canope.fr/notice/conspi-hunter-la-reaction-des-eleves.html" w:history="1">
        <w:r>
          <w:rPr>
            <w:rStyle w:val="494"/>
          </w:rPr>
          <w:t xml:space="preserve">https://www.reseau-canope.fr/notice/conspi-hunter-la-reaction-des-eleves.html</w:t>
        </w:r>
      </w:hyperlink>
      <w:r/>
      <w:r/>
    </w:p>
    <w:sectPr>
      <w:headerReference w:type="first" r:id="rId9"/>
      <w:footnotePr/>
      <w:endnotePr/>
      <w:type w:val="nextPage"/>
      <w:pgSz w:w="11900" w:h="16840" w:orient="portrait"/>
      <w:pgMar w:top="720" w:right="720" w:bottom="720" w:left="720"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70409020205020404"/>
  </w:font>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lucida grande">
    <w:panose1 w:val="02070409020205020404"/>
  </w:font>
  <w:font w:name="Cambria">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98"/>
      <w:jc w:val="center"/>
    </w:pPr>
    <w:r>
      <w:t xml:space="preserve">DUCHAMP Aubéri – Lycée Jean Michel (Lons le Saunier) – Académie de Besançon</w:t>
    </w:r>
    <w:r/>
  </w:p>
  <w:p>
    <w:pPr>
      <w:pStyle w:val="498"/>
      <w:jc w:val="center"/>
    </w:pPr>
    <w:r>
      <w:t xml:space="preserve">auberi.duchamp@ac-besancon.fr</w:t>
    </w:r>
    <w:r/>
  </w:p>
  <w:p>
    <w:pPr>
      <w:pStyle w:val="49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o"/>
      <w:lvlJc w:val="left"/>
      <w:pPr>
        <w:ind w:left="720" w:hanging="360"/>
      </w:pPr>
      <w:rPr>
        <w:rFonts w:ascii="Courier New" w:hAnsi="Courier New" w:hint="default"/>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bullet"/>
      <w:isLgl w:val="false"/>
      <w:suff w:val="tab"/>
      <w:lvlText w:val="o"/>
      <w:lvlJc w:val="left"/>
      <w:pPr>
        <w:ind w:left="720" w:hanging="360"/>
      </w:pPr>
      <w:rPr>
        <w:rFonts w:ascii="Courier New" w:hAnsi="Courier New" w:hint="default"/>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o"/>
      <w:lvlJc w:val="left"/>
      <w:pPr>
        <w:ind w:left="720" w:hanging="360"/>
      </w:pPr>
      <w:rPr>
        <w:rFonts w:ascii="Courier New" w:hAnsi="Courier New" w:hint="default"/>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
    <w:multiLevelType w:val="hybridMultilevel"/>
    <w:lvl w:ilvl="0">
      <w:start w:val="1"/>
      <w:numFmt w:val="bullet"/>
      <w:isLgl w:val="false"/>
      <w:suff w:val="tab"/>
      <w:lvlText w:val="o"/>
      <w:lvlJc w:val="left"/>
      <w:pPr>
        <w:ind w:left="1068" w:hanging="360"/>
      </w:pPr>
      <w:rPr>
        <w:rFonts w:ascii="Courier New" w:hAnsi="Courier New" w:hint="default"/>
      </w:rPr>
    </w:lvl>
    <w:lvl w:ilvl="1">
      <w:start w:val="1"/>
      <w:numFmt w:val="bullet"/>
      <w:isLgl w:val="false"/>
      <w:suff w:val="tab"/>
      <w:lvlText w:val="o"/>
      <w:lvlJc w:val="left"/>
      <w:pPr>
        <w:ind w:left="1788" w:hanging="360"/>
      </w:pPr>
      <w:rPr>
        <w:rFonts w:ascii="Courier New" w:hAnsi="Courier New" w:hint="default"/>
      </w:rPr>
    </w:lvl>
    <w:lvl w:ilvl="2">
      <w:start w:val="1"/>
      <w:numFmt w:val="bullet"/>
      <w:isLgl w:val="false"/>
      <w:suff w:val="tab"/>
      <w:lvlText w:val=""/>
      <w:lvlJc w:val="left"/>
      <w:pPr>
        <w:ind w:left="2508" w:hanging="360"/>
      </w:pPr>
      <w:rPr>
        <w:rFonts w:ascii="Wingdings" w:hAnsi="Wingdings" w:hint="default"/>
      </w:rPr>
    </w:lvl>
    <w:lvl w:ilvl="3">
      <w:start w:val="1"/>
      <w:numFmt w:val="bullet"/>
      <w:isLgl w:val="false"/>
      <w:suff w:val="tab"/>
      <w:lvlText w:val=""/>
      <w:lvlJc w:val="left"/>
      <w:pPr>
        <w:ind w:left="3228" w:hanging="360"/>
      </w:pPr>
      <w:rPr>
        <w:rFonts w:ascii="Symbol" w:hAnsi="Symbol" w:hint="default"/>
      </w:rPr>
    </w:lvl>
    <w:lvl w:ilvl="4">
      <w:start w:val="1"/>
      <w:numFmt w:val="bullet"/>
      <w:isLgl w:val="false"/>
      <w:suff w:val="tab"/>
      <w:lvlText w:val="o"/>
      <w:lvlJc w:val="left"/>
      <w:pPr>
        <w:ind w:left="3948" w:hanging="360"/>
      </w:pPr>
      <w:rPr>
        <w:rFonts w:ascii="Courier New" w:hAnsi="Courier New" w:hint="default"/>
      </w:rPr>
    </w:lvl>
    <w:lvl w:ilvl="5">
      <w:start w:val="1"/>
      <w:numFmt w:val="bullet"/>
      <w:isLgl w:val="false"/>
      <w:suff w:val="tab"/>
      <w:lvlText w:val=""/>
      <w:lvlJc w:val="left"/>
      <w:pPr>
        <w:ind w:left="4668" w:hanging="360"/>
      </w:pPr>
      <w:rPr>
        <w:rFonts w:ascii="Wingdings" w:hAnsi="Wingdings" w:hint="default"/>
      </w:rPr>
    </w:lvl>
    <w:lvl w:ilvl="6">
      <w:start w:val="1"/>
      <w:numFmt w:val="bullet"/>
      <w:isLgl w:val="false"/>
      <w:suff w:val="tab"/>
      <w:lvlText w:val=""/>
      <w:lvlJc w:val="left"/>
      <w:pPr>
        <w:ind w:left="5388" w:hanging="360"/>
      </w:pPr>
      <w:rPr>
        <w:rFonts w:ascii="Symbol" w:hAnsi="Symbol" w:hint="default"/>
      </w:rPr>
    </w:lvl>
    <w:lvl w:ilvl="7">
      <w:start w:val="1"/>
      <w:numFmt w:val="bullet"/>
      <w:isLgl w:val="false"/>
      <w:suff w:val="tab"/>
      <w:lvlText w:val="o"/>
      <w:lvlJc w:val="left"/>
      <w:pPr>
        <w:ind w:left="6108" w:hanging="360"/>
      </w:pPr>
      <w:rPr>
        <w:rFonts w:ascii="Courier New" w:hAnsi="Courier New" w:hint="default"/>
      </w:rPr>
    </w:lvl>
    <w:lvl w:ilvl="8">
      <w:start w:val="1"/>
      <w:numFmt w:val="bullet"/>
      <w:isLgl w:val="false"/>
      <w:suff w:val="tab"/>
      <w:lvlText w:val=""/>
      <w:lvlJc w:val="left"/>
      <w:pPr>
        <w:ind w:left="6828" w:hanging="360"/>
      </w:pPr>
      <w:rPr>
        <w:rFonts w:ascii="Wingdings" w:hAnsi="Wingdings" w:hint="default"/>
      </w:rPr>
    </w:lvl>
  </w:abstractNum>
  <w:abstractNum w:abstractNumId="5">
    <w:multiLevelType w:val="hybridMultilevel"/>
    <w:lvl w:ilvl="0">
      <w:start w:val="1"/>
      <w:numFmt w:val="bullet"/>
      <w:isLgl w:val="false"/>
      <w:suff w:val="tab"/>
      <w:lvlText w:val="o"/>
      <w:lvlJc w:val="left"/>
      <w:pPr>
        <w:ind w:left="720" w:hanging="360"/>
      </w:pPr>
      <w:rPr>
        <w:rFonts w:ascii="Courier New" w:hAnsi="Courier New" w:hint="default"/>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pPr>
      <w:rPr>
        <w:rFonts w:ascii="Cambria" w:hAnsi="Cambria" w:cs="Cambria" w:eastAsia="Cambria" w:hint="default"/>
      </w:r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7">
    <w:multiLevelType w:val="hybridMultilevel"/>
    <w:lvl w:ilvl="0">
      <w:start w:val="1"/>
      <w:numFmt w:val="bullet"/>
      <w:isLgl w:val="false"/>
      <w:suff w:val="tab"/>
      <w:lvlText w:val="o"/>
      <w:lvlJc w:val="left"/>
      <w:pPr>
        <w:ind w:left="720" w:hanging="360"/>
      </w:pPr>
      <w:rPr>
        <w:rFonts w:ascii="Courier New" w:hAnsi="Courier New" w:hint="default"/>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
    <w:multiLevelType w:val="hybridMultilevel"/>
    <w:lvl w:ilvl="0">
      <w:start w:val="1"/>
      <w:numFmt w:val="bullet"/>
      <w:isLgl w:val="false"/>
      <w:suff w:val="tab"/>
      <w:lvlText w:val="o"/>
      <w:lvlJc w:val="left"/>
      <w:pPr>
        <w:ind w:left="720" w:hanging="360"/>
      </w:pPr>
      <w:rPr>
        <w:rFonts w:ascii="Courier New" w:hAnsi="Courier New" w:hint="default"/>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
    <w:multiLevelType w:val="hybridMultilevel"/>
    <w:lvl w:ilvl="0">
      <w:start w:val="1"/>
      <w:numFmt w:val="bullet"/>
      <w:isLgl w:val="false"/>
      <w:suff w:val="tab"/>
      <w:lvlText w:val="o"/>
      <w:lvlJc w:val="left"/>
      <w:pPr>
        <w:ind w:left="720" w:hanging="360"/>
      </w:pPr>
      <w:rPr>
        <w:rFonts w:ascii="Courier New" w:hAnsi="Courier New" w:hint="default"/>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bullet"/>
      <w:isLgl w:val="false"/>
      <w:suff w:val="tab"/>
      <w:lvlText w:val="o"/>
      <w:lvlJc w:val="left"/>
      <w:pPr>
        <w:ind w:left="720" w:hanging="360"/>
      </w:pPr>
      <w:rPr>
        <w:rFonts w:ascii="Courier New" w:hAnsi="Courier New" w:hint="default"/>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7"/>
  </w:num>
  <w:num w:numId="5">
    <w:abstractNumId w:val="3"/>
  </w:num>
  <w:num w:numId="6">
    <w:abstractNumId w:val="1"/>
  </w:num>
  <w:num w:numId="7">
    <w:abstractNumId w:val="0"/>
  </w:num>
  <w:num w:numId="8">
    <w:abstractNumId w:val="8"/>
  </w:num>
  <w:num w:numId="9">
    <w:abstractNumId w:val="2"/>
  </w:num>
  <w:num w:numId="10">
    <w:abstractNumId w:val="9"/>
  </w:num>
  <w:num w:numId="11">
    <w:abstractNumId w:val="5"/>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cs="Cambria" w:eastAsia="Cambria"/>
        <w:color w:val="auto"/>
        <w:spacing w:val="0"/>
        <w:position w:val="0"/>
        <w:sz w:val="24"/>
        <w:szCs w:val="24"/>
        <w:lang w:val="fr-FR" w:bidi="ar-SA" w:eastAsia="fr-FR"/>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489"/>
    <w:next w:val="489"/>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490"/>
    <w:link w:val="11"/>
    <w:uiPriority w:val="9"/>
    <w:rPr>
      <w:rFonts w:ascii="Arial" w:hAnsi="Arial" w:cs="Arial" w:eastAsia="Arial"/>
      <w:sz w:val="40"/>
      <w:szCs w:val="40"/>
    </w:rPr>
  </w:style>
  <w:style w:type="paragraph" w:styleId="13">
    <w:name w:val="Heading 2"/>
    <w:basedOn w:val="489"/>
    <w:next w:val="489"/>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490"/>
    <w:link w:val="13"/>
    <w:uiPriority w:val="9"/>
    <w:rPr>
      <w:rFonts w:ascii="Arial" w:hAnsi="Arial" w:cs="Arial" w:eastAsia="Arial"/>
      <w:sz w:val="34"/>
    </w:rPr>
  </w:style>
  <w:style w:type="paragraph" w:styleId="15">
    <w:name w:val="Heading 3"/>
    <w:basedOn w:val="489"/>
    <w:next w:val="489"/>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490"/>
    <w:link w:val="15"/>
    <w:uiPriority w:val="9"/>
    <w:rPr>
      <w:rFonts w:ascii="Arial" w:hAnsi="Arial" w:cs="Arial" w:eastAsia="Arial"/>
      <w:sz w:val="30"/>
      <w:szCs w:val="30"/>
    </w:rPr>
  </w:style>
  <w:style w:type="paragraph" w:styleId="17">
    <w:name w:val="Heading 4"/>
    <w:basedOn w:val="489"/>
    <w:next w:val="489"/>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490"/>
    <w:link w:val="17"/>
    <w:uiPriority w:val="9"/>
    <w:rPr>
      <w:rFonts w:ascii="Arial" w:hAnsi="Arial" w:cs="Arial" w:eastAsia="Arial"/>
      <w:b/>
      <w:bCs/>
      <w:sz w:val="26"/>
      <w:szCs w:val="26"/>
    </w:rPr>
  </w:style>
  <w:style w:type="paragraph" w:styleId="19">
    <w:name w:val="Heading 5"/>
    <w:basedOn w:val="489"/>
    <w:next w:val="489"/>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490"/>
    <w:link w:val="19"/>
    <w:uiPriority w:val="9"/>
    <w:rPr>
      <w:rFonts w:ascii="Arial" w:hAnsi="Arial" w:cs="Arial" w:eastAsia="Arial"/>
      <w:b/>
      <w:bCs/>
      <w:sz w:val="24"/>
      <w:szCs w:val="24"/>
    </w:rPr>
  </w:style>
  <w:style w:type="paragraph" w:styleId="21">
    <w:name w:val="Heading 6"/>
    <w:basedOn w:val="489"/>
    <w:next w:val="489"/>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490"/>
    <w:link w:val="21"/>
    <w:uiPriority w:val="9"/>
    <w:rPr>
      <w:rFonts w:ascii="Arial" w:hAnsi="Arial" w:cs="Arial" w:eastAsia="Arial"/>
      <w:b/>
      <w:bCs/>
      <w:sz w:val="22"/>
      <w:szCs w:val="22"/>
    </w:rPr>
  </w:style>
  <w:style w:type="paragraph" w:styleId="23">
    <w:name w:val="Heading 7"/>
    <w:basedOn w:val="489"/>
    <w:next w:val="489"/>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490"/>
    <w:link w:val="23"/>
    <w:uiPriority w:val="9"/>
    <w:rPr>
      <w:rFonts w:ascii="Arial" w:hAnsi="Arial" w:cs="Arial" w:eastAsia="Arial"/>
      <w:b/>
      <w:bCs/>
      <w:i/>
      <w:iCs/>
      <w:sz w:val="22"/>
      <w:szCs w:val="22"/>
    </w:rPr>
  </w:style>
  <w:style w:type="paragraph" w:styleId="25">
    <w:name w:val="Heading 8"/>
    <w:basedOn w:val="489"/>
    <w:next w:val="489"/>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490"/>
    <w:link w:val="25"/>
    <w:uiPriority w:val="9"/>
    <w:rPr>
      <w:rFonts w:ascii="Arial" w:hAnsi="Arial" w:cs="Arial" w:eastAsia="Arial"/>
      <w:i/>
      <w:iCs/>
      <w:sz w:val="22"/>
      <w:szCs w:val="22"/>
    </w:rPr>
  </w:style>
  <w:style w:type="paragraph" w:styleId="27">
    <w:name w:val="Heading 9"/>
    <w:basedOn w:val="489"/>
    <w:next w:val="489"/>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490"/>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489"/>
    <w:next w:val="489"/>
    <w:link w:val="33"/>
    <w:qFormat/>
    <w:uiPriority w:val="10"/>
    <w:rPr>
      <w:sz w:val="48"/>
      <w:szCs w:val="48"/>
    </w:rPr>
    <w:pPr>
      <w:contextualSpacing w:val="true"/>
      <w:spacing w:after="200" w:before="300"/>
    </w:pPr>
  </w:style>
  <w:style w:type="character" w:styleId="33">
    <w:name w:val="Title Char"/>
    <w:basedOn w:val="490"/>
    <w:link w:val="32"/>
    <w:uiPriority w:val="10"/>
    <w:rPr>
      <w:sz w:val="48"/>
      <w:szCs w:val="48"/>
    </w:rPr>
  </w:style>
  <w:style w:type="paragraph" w:styleId="34">
    <w:name w:val="Subtitle"/>
    <w:basedOn w:val="489"/>
    <w:next w:val="489"/>
    <w:link w:val="35"/>
    <w:qFormat/>
    <w:uiPriority w:val="11"/>
    <w:rPr>
      <w:sz w:val="24"/>
      <w:szCs w:val="24"/>
    </w:rPr>
    <w:pPr>
      <w:spacing w:after="200" w:before="200"/>
    </w:pPr>
  </w:style>
  <w:style w:type="character" w:styleId="35">
    <w:name w:val="Subtitle Char"/>
    <w:basedOn w:val="490"/>
    <w:link w:val="34"/>
    <w:uiPriority w:val="11"/>
    <w:rPr>
      <w:sz w:val="24"/>
      <w:szCs w:val="24"/>
    </w:rPr>
  </w:style>
  <w:style w:type="paragraph" w:styleId="36">
    <w:name w:val="Quote"/>
    <w:basedOn w:val="489"/>
    <w:next w:val="489"/>
    <w:link w:val="37"/>
    <w:qFormat/>
    <w:uiPriority w:val="29"/>
    <w:rPr>
      <w:i/>
    </w:rPr>
    <w:pPr>
      <w:ind w:left="720" w:right="720"/>
    </w:pPr>
  </w:style>
  <w:style w:type="character" w:styleId="37">
    <w:name w:val="Quote Char"/>
    <w:link w:val="36"/>
    <w:uiPriority w:val="29"/>
    <w:rPr>
      <w:i/>
    </w:rPr>
  </w:style>
  <w:style w:type="paragraph" w:styleId="38">
    <w:name w:val="Intense Quote"/>
    <w:basedOn w:val="489"/>
    <w:next w:val="489"/>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490"/>
    <w:link w:val="498"/>
    <w:uiPriority w:val="99"/>
  </w:style>
  <w:style w:type="character" w:styleId="43">
    <w:name w:val="Footer Char"/>
    <w:basedOn w:val="490"/>
    <w:link w:val="500"/>
    <w:uiPriority w:val="99"/>
  </w:style>
  <w:style w:type="paragraph" w:styleId="44">
    <w:name w:val="Caption"/>
    <w:basedOn w:val="489"/>
    <w:next w:val="489"/>
    <w:qFormat/>
    <w:uiPriority w:val="35"/>
    <w:semiHidden/>
    <w:unhideWhenUsed/>
    <w:rPr>
      <w:b/>
      <w:bCs/>
      <w:color w:val="4F81BD" w:themeColor="accent1"/>
      <w:sz w:val="18"/>
      <w:szCs w:val="18"/>
    </w:rPr>
    <w:pPr>
      <w:spacing w:lineRule="auto" w:line="276"/>
    </w:pPr>
  </w:style>
  <w:style w:type="character" w:styleId="45">
    <w:name w:val="Caption Char"/>
    <w:basedOn w:val="44"/>
    <w:link w:val="500"/>
    <w:uiPriority w:val="99"/>
  </w:style>
  <w:style w:type="table" w:styleId="47">
    <w:name w:val="Table Grid Light"/>
    <w:basedOn w:val="49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9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91"/>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9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9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9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3">
    <w:name w:val="Grid Table 1 Light"/>
    <w:basedOn w:val="491"/>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9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9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9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9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9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9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9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9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9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9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9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9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9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9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9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9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9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9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9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9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91"/>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9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91"/>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91"/>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91"/>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91"/>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91"/>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2">
    <w:name w:val="Grid Table 5 Dark- Accent 1"/>
    <w:basedOn w:val="4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3">
    <w:name w:val="Grid Table 5 Dark - Accent 2"/>
    <w:basedOn w:val="4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4">
    <w:name w:val="Grid Table 5 Dark - Accent 3"/>
    <w:basedOn w:val="4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5">
    <w:name w:val="Grid Table 5 Dark- Accent 4"/>
    <w:basedOn w:val="4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6">
    <w:name w:val="Grid Table 5 Dark - Accent 5"/>
    <w:basedOn w:val="4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7">
    <w:name w:val="Grid Table 5 Dark - Accent 6"/>
    <w:basedOn w:val="4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8">
    <w:name w:val="Grid Table 6 Colorful"/>
    <w:basedOn w:val="491"/>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9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9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91"/>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9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91"/>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91"/>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491"/>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6">
    <w:name w:val="Grid Table 7 Colorful - Accent 1"/>
    <w:basedOn w:val="49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7">
    <w:name w:val="Grid Table 7 Colorful - Accent 2"/>
    <w:basedOn w:val="491"/>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8">
    <w:name w:val="Grid Table 7 Colorful - Accent 3"/>
    <w:basedOn w:val="491"/>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9">
    <w:name w:val="Grid Table 7 Colorful - Accent 4"/>
    <w:basedOn w:val="491"/>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100">
    <w:name w:val="Grid Table 7 Colorful - Accent 5"/>
    <w:basedOn w:val="491"/>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101">
    <w:name w:val="Grid Table 7 Colorful - Accent 6"/>
    <w:basedOn w:val="491"/>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2">
    <w:name w:val="List Table 1 Light"/>
    <w:basedOn w:val="491"/>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91"/>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91"/>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91"/>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91"/>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91"/>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91"/>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91"/>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9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91"/>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91"/>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91"/>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91"/>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91"/>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9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7">
    <w:name w:val="List Table 3 - Accent 1"/>
    <w:basedOn w:val="49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8">
    <w:name w:val="List Table 3 - Accent 2"/>
    <w:basedOn w:val="49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91"/>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9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91"/>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91"/>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3">
    <w:name w:val="List Table 4"/>
    <w:basedOn w:val="49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4">
    <w:name w:val="List Table 4 - Accent 1"/>
    <w:basedOn w:val="49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5">
    <w:name w:val="List Table 4 - Accent 2"/>
    <w:basedOn w:val="491"/>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6">
    <w:name w:val="List Table 4 - Accent 3"/>
    <w:basedOn w:val="491"/>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7">
    <w:name w:val="List Table 4 - Accent 4"/>
    <w:basedOn w:val="491"/>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8">
    <w:name w:val="List Table 4 - Accent 5"/>
    <w:basedOn w:val="491"/>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9">
    <w:name w:val="List Table 4 - Accent 6"/>
    <w:basedOn w:val="491"/>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30">
    <w:name w:val="List Table 5 Dark"/>
    <w:basedOn w:val="491"/>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9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91"/>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91"/>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91"/>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91"/>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91"/>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91"/>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9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491"/>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491"/>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491"/>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491"/>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491"/>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491"/>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9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491"/>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491"/>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491"/>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491"/>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491"/>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4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2">
    <w:name w:val="Lined - Accent 1"/>
    <w:basedOn w:val="4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3">
    <w:name w:val="Lined - Accent 2"/>
    <w:basedOn w:val="4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4">
    <w:name w:val="Lined - Accent 3"/>
    <w:basedOn w:val="4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5">
    <w:name w:val="Lined - Accent 4"/>
    <w:basedOn w:val="4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6">
    <w:name w:val="Lined - Accent 5"/>
    <w:basedOn w:val="4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7">
    <w:name w:val="Lined - Accent 6"/>
    <w:basedOn w:val="4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8">
    <w:name w:val="Bordered &amp; Lined - Accent"/>
    <w:basedOn w:val="491"/>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9">
    <w:name w:val="Bordered &amp; Lined - Accent 1"/>
    <w:basedOn w:val="49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60">
    <w:name w:val="Bordered &amp; Lined - Accent 2"/>
    <w:basedOn w:val="491"/>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61">
    <w:name w:val="Bordered &amp; Lined - Accent 3"/>
    <w:basedOn w:val="491"/>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2">
    <w:name w:val="Bordered &amp; Lined - Accent 4"/>
    <w:basedOn w:val="491"/>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3">
    <w:name w:val="Bordered &amp; Lined - Accent 5"/>
    <w:basedOn w:val="491"/>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4">
    <w:name w:val="Bordered &amp; Lined - Accent 6"/>
    <w:basedOn w:val="491"/>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5">
    <w:name w:val="Bordered"/>
    <w:basedOn w:val="491"/>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9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9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9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9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9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9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489"/>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490"/>
    <w:uiPriority w:val="99"/>
    <w:unhideWhenUsed/>
    <w:rPr>
      <w:vertAlign w:val="superscript"/>
    </w:rPr>
  </w:style>
  <w:style w:type="paragraph" w:styleId="176">
    <w:name w:val="endnote text"/>
    <w:basedOn w:val="489"/>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490"/>
    <w:uiPriority w:val="99"/>
    <w:semiHidden/>
    <w:unhideWhenUsed/>
    <w:rPr>
      <w:vertAlign w:val="superscript"/>
    </w:rPr>
  </w:style>
  <w:style w:type="paragraph" w:styleId="179">
    <w:name w:val="toc 1"/>
    <w:basedOn w:val="489"/>
    <w:next w:val="489"/>
    <w:uiPriority w:val="39"/>
    <w:unhideWhenUsed/>
    <w:pPr>
      <w:ind w:left="0" w:right="0" w:firstLine="0"/>
      <w:spacing w:after="57"/>
    </w:pPr>
  </w:style>
  <w:style w:type="paragraph" w:styleId="180">
    <w:name w:val="toc 2"/>
    <w:basedOn w:val="489"/>
    <w:next w:val="489"/>
    <w:uiPriority w:val="39"/>
    <w:unhideWhenUsed/>
    <w:pPr>
      <w:ind w:left="283" w:right="0" w:firstLine="0"/>
      <w:spacing w:after="57"/>
    </w:pPr>
  </w:style>
  <w:style w:type="paragraph" w:styleId="181">
    <w:name w:val="toc 3"/>
    <w:basedOn w:val="489"/>
    <w:next w:val="489"/>
    <w:uiPriority w:val="39"/>
    <w:unhideWhenUsed/>
    <w:pPr>
      <w:ind w:left="567" w:right="0" w:firstLine="0"/>
      <w:spacing w:after="57"/>
    </w:pPr>
  </w:style>
  <w:style w:type="paragraph" w:styleId="182">
    <w:name w:val="toc 4"/>
    <w:basedOn w:val="489"/>
    <w:next w:val="489"/>
    <w:uiPriority w:val="39"/>
    <w:unhideWhenUsed/>
    <w:pPr>
      <w:ind w:left="850" w:right="0" w:firstLine="0"/>
      <w:spacing w:after="57"/>
    </w:pPr>
  </w:style>
  <w:style w:type="paragraph" w:styleId="183">
    <w:name w:val="toc 5"/>
    <w:basedOn w:val="489"/>
    <w:next w:val="489"/>
    <w:uiPriority w:val="39"/>
    <w:unhideWhenUsed/>
    <w:pPr>
      <w:ind w:left="1134" w:right="0" w:firstLine="0"/>
      <w:spacing w:after="57"/>
    </w:pPr>
  </w:style>
  <w:style w:type="paragraph" w:styleId="184">
    <w:name w:val="toc 6"/>
    <w:basedOn w:val="489"/>
    <w:next w:val="489"/>
    <w:uiPriority w:val="39"/>
    <w:unhideWhenUsed/>
    <w:pPr>
      <w:ind w:left="1417" w:right="0" w:firstLine="0"/>
      <w:spacing w:after="57"/>
    </w:pPr>
  </w:style>
  <w:style w:type="paragraph" w:styleId="185">
    <w:name w:val="toc 7"/>
    <w:basedOn w:val="489"/>
    <w:next w:val="489"/>
    <w:uiPriority w:val="39"/>
    <w:unhideWhenUsed/>
    <w:pPr>
      <w:ind w:left="1701" w:right="0" w:firstLine="0"/>
      <w:spacing w:after="57"/>
    </w:pPr>
  </w:style>
  <w:style w:type="paragraph" w:styleId="186">
    <w:name w:val="toc 8"/>
    <w:basedOn w:val="489"/>
    <w:next w:val="489"/>
    <w:uiPriority w:val="39"/>
    <w:unhideWhenUsed/>
    <w:pPr>
      <w:ind w:left="1984" w:right="0" w:firstLine="0"/>
      <w:spacing w:after="57"/>
    </w:pPr>
  </w:style>
  <w:style w:type="paragraph" w:styleId="187">
    <w:name w:val="toc 9"/>
    <w:basedOn w:val="489"/>
    <w:next w:val="489"/>
    <w:uiPriority w:val="39"/>
    <w:unhideWhenUsed/>
    <w:pPr>
      <w:ind w:left="2268" w:right="0" w:firstLine="0"/>
      <w:spacing w:after="57"/>
    </w:pPr>
  </w:style>
  <w:style w:type="paragraph" w:styleId="188">
    <w:name w:val="TOC Heading"/>
    <w:uiPriority w:val="39"/>
    <w:unhideWhenUsed/>
  </w:style>
  <w:style w:type="paragraph" w:styleId="489" w:default="1">
    <w:name w:val="Normal"/>
    <w:qFormat/>
  </w:style>
  <w:style w:type="character" w:styleId="490" w:default="1">
    <w:name w:val="Default Paragraph Font"/>
    <w:uiPriority w:val="1"/>
    <w:semiHidden/>
    <w:unhideWhenUsed/>
  </w:style>
  <w:style w:type="table" w:styleId="491" w:default="1">
    <w:name w:val="Normal Table"/>
    <w:uiPriority w:val="99"/>
    <w:semiHidden/>
    <w:unhideWhenUsed/>
    <w:tblPr>
      <w:tblInd w:w="0" w:type="dxa"/>
      <w:tblCellMar>
        <w:left w:w="108" w:type="dxa"/>
        <w:top w:w="0" w:type="dxa"/>
        <w:right w:w="108" w:type="dxa"/>
        <w:bottom w:w="0" w:type="dxa"/>
      </w:tblCellMar>
    </w:tblPr>
  </w:style>
  <w:style w:type="numbering" w:styleId="492" w:default="1">
    <w:name w:val="No List"/>
    <w:uiPriority w:val="99"/>
    <w:semiHidden/>
    <w:unhideWhenUsed/>
  </w:style>
  <w:style w:type="paragraph" w:styleId="493">
    <w:name w:val="List Paragraph"/>
    <w:basedOn w:val="489"/>
    <w:qFormat/>
    <w:uiPriority w:val="34"/>
    <w:pPr>
      <w:contextualSpacing w:val="true"/>
      <w:ind w:left="720"/>
    </w:pPr>
  </w:style>
  <w:style w:type="character" w:styleId="494">
    <w:name w:val="Hyperlink"/>
    <w:basedOn w:val="490"/>
    <w:uiPriority w:val="99"/>
    <w:unhideWhenUsed/>
    <w:rPr>
      <w:color w:val="0000FF" w:themeColor="hyperlink"/>
      <w:u w:val="single"/>
    </w:rPr>
  </w:style>
  <w:style w:type="character" w:styleId="495">
    <w:name w:val="FollowedHyperlink"/>
    <w:basedOn w:val="490"/>
    <w:uiPriority w:val="99"/>
    <w:semiHidden/>
    <w:unhideWhenUsed/>
    <w:rPr>
      <w:color w:val="800080" w:themeColor="followedHyperlink"/>
      <w:u w:val="single"/>
    </w:rPr>
  </w:style>
  <w:style w:type="paragraph" w:styleId="496">
    <w:name w:val="Balloon Text"/>
    <w:basedOn w:val="489"/>
    <w:link w:val="497"/>
    <w:uiPriority w:val="99"/>
    <w:semiHidden/>
    <w:unhideWhenUsed/>
    <w:rPr>
      <w:rFonts w:ascii="Lucida Grande" w:hAnsi="Lucida Grande" w:cs="Lucida Grande"/>
      <w:sz w:val="18"/>
      <w:szCs w:val="18"/>
    </w:rPr>
  </w:style>
  <w:style w:type="character" w:styleId="497" w:customStyle="1">
    <w:name w:val="Texte de bulles Car"/>
    <w:basedOn w:val="490"/>
    <w:link w:val="496"/>
    <w:uiPriority w:val="99"/>
    <w:semiHidden/>
    <w:rPr>
      <w:rFonts w:ascii="Lucida Grande" w:hAnsi="Lucida Grande" w:cs="Lucida Grande"/>
      <w:sz w:val="18"/>
      <w:szCs w:val="18"/>
    </w:rPr>
  </w:style>
  <w:style w:type="paragraph" w:styleId="498">
    <w:name w:val="Header"/>
    <w:basedOn w:val="489"/>
    <w:link w:val="499"/>
    <w:uiPriority w:val="99"/>
    <w:unhideWhenUsed/>
    <w:pPr>
      <w:tabs>
        <w:tab w:val="center" w:pos="4536" w:leader="none"/>
        <w:tab w:val="right" w:pos="9072" w:leader="none"/>
      </w:tabs>
    </w:pPr>
  </w:style>
  <w:style w:type="character" w:styleId="499" w:customStyle="1">
    <w:name w:val="En-tête Car"/>
    <w:basedOn w:val="490"/>
    <w:link w:val="498"/>
    <w:uiPriority w:val="99"/>
  </w:style>
  <w:style w:type="paragraph" w:styleId="500">
    <w:name w:val="Footer"/>
    <w:basedOn w:val="489"/>
    <w:link w:val="501"/>
    <w:uiPriority w:val="99"/>
    <w:unhideWhenUsed/>
    <w:pPr>
      <w:tabs>
        <w:tab w:val="center" w:pos="4536" w:leader="none"/>
        <w:tab w:val="right" w:pos="9072" w:leader="none"/>
      </w:tabs>
    </w:pPr>
  </w:style>
  <w:style w:type="character" w:styleId="501" w:customStyle="1">
    <w:name w:val="Pied de page Car"/>
    <w:basedOn w:val="490"/>
    <w:link w:val="500"/>
    <w:uiPriority w:val="99"/>
  </w:style>
  <w:style w:type="table" w:styleId="502">
    <w:name w:val="Table Grid"/>
    <w:basedOn w:val="491"/>
    <w:uiPriority w:val="59"/>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503">
    <w:name w:val="Light Shading Accent 1"/>
    <w:basedOn w:val="491"/>
    <w:uiPriority w:val="60"/>
    <w:rPr>
      <w:color w:val="365F91" w:themeColor="accent1" w:themeShade="BF"/>
      <w:sz w:val="22"/>
      <w:szCs w:val="22"/>
    </w:rPr>
    <w:tblPr>
      <w:tblStyleRowBandSize w:val="1"/>
      <w:tblStyleColBandSize w:val="1"/>
      <w:tblInd w:w="0" w:type="dxa"/>
      <w:tblBorders>
        <w:top w:val="single" w:color="4F81BD" w:sz="8" w:space="0" w:themeColor="accent1"/>
        <w:bottom w:val="single" w:color="4F81BD" w:sz="8" w:space="0" w:themeColor="accent1"/>
      </w:tblBorders>
      <w:tblCellMar>
        <w:left w:w="108" w:type="dxa"/>
        <w:top w:w="0" w:type="dxa"/>
        <w:right w:w="108" w:type="dxa"/>
        <w:bottom w:w="0" w:type="dxa"/>
      </w:tblCellMar>
    </w:tblPr>
    <w:tblStylePr w:type="band1Horz">
      <w:tcPr>
        <w:shd w:val="clear" w:color="auto" w:fill="D3DFEE" w:themeFill="accent1" w:themeFillTint="3F"/>
        <w:tcBorders>
          <w:left w:val="none" w:color="000000" w:sz="4" w:space="0"/>
          <w:right w:val="none" w:color="000000" w:sz="4" w:space="0"/>
          <w:insideV w:val="none" w:color="000000" w:sz="4" w:space="0"/>
          <w:insideH w:val="none" w:color="000000" w:sz="4" w:space="0"/>
        </w:tcBorders>
      </w:tcPr>
    </w:tblStylePr>
    <w:tblStylePr w:type="band1Vert">
      <w:tcPr>
        <w:shd w:val="clear" w:color="auto" w:fill="D3DFEE" w:themeFill="accent1" w:themeFillTint="3F"/>
        <w:tcBorders>
          <w:left w:val="none" w:color="000000" w:sz="4" w:space="0"/>
          <w:right w:val="none" w:color="000000" w:sz="4" w:space="0"/>
          <w:insideV w:val="none" w:color="000000" w:sz="4" w:space="0"/>
          <w:insideH w:val="none" w:color="000000" w:sz="4" w:space="0"/>
        </w:tcBorders>
      </w:tcPr>
    </w:tblStylePr>
    <w:tblStylePr w:type="firstCol">
      <w:rPr>
        <w:b/>
        <w:bCs/>
      </w:rPr>
    </w:tblStylePr>
    <w:tblStylePr w:type="firstRow">
      <w:rPr>
        <w:b/>
        <w:bCs/>
      </w:rPr>
      <w:pPr>
        <w:spacing w:lineRule="auto" w:line="240" w:after="0" w:before="0"/>
      </w:pPr>
      <w:tcPr>
        <w:tcBorders>
          <w:left w:val="none" w:color="000000" w:sz="4" w:space="0"/>
          <w:top w:val="single" w:color="4F81BD" w:sz="8" w:space="0" w:themeColor="accent1"/>
          <w:right w:val="none" w:color="000000" w:sz="4" w:space="0"/>
          <w:bottom w:val="single" w:color="4F81BD" w:sz="8" w:space="0" w:themeColor="accent1"/>
          <w:insideV w:val="none" w:color="000000" w:sz="4" w:space="0"/>
          <w:insideH w:val="none" w:color="000000" w:sz="4" w:space="0"/>
        </w:tcBorders>
      </w:tcPr>
    </w:tblStylePr>
    <w:tblStylePr w:type="lastCol">
      <w:rPr>
        <w:b/>
        <w:bCs/>
      </w:rPr>
    </w:tblStylePr>
    <w:tblStylePr w:type="lastRow">
      <w:rPr>
        <w:b/>
        <w:bCs/>
      </w:rPr>
      <w:pPr>
        <w:spacing w:lineRule="auto" w:line="240" w:after="0" w:before="0"/>
      </w:pPr>
      <w:tcPr>
        <w:tcBorders>
          <w:left w:val="none" w:color="000000" w:sz="4" w:space="0"/>
          <w:top w:val="single" w:color="4F81BD" w:sz="8" w:space="0" w:themeColor="accent1"/>
          <w:right w:val="none" w:color="000000" w:sz="4" w:space="0"/>
          <w:bottom w:val="single" w:color="4F81BD" w:sz="8" w:space="0" w:themeColor="accent1"/>
          <w:insideV w:val="none" w:color="000000" w:sz="4" w:space="0"/>
          <w:insideH w:val="none" w:color="000000" w:sz="4" w:space="0"/>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hyperlink" Target="http://ticeman.fr/TV/?p=591" TargetMode="External"/><Relationship Id="rId12" Type="http://schemas.openxmlformats.org/officeDocument/2006/relationships/image" Target="media/image2.png"/><Relationship Id="rId13" Type="http://schemas.openxmlformats.org/officeDocument/2006/relationships/image" Target="media/image3.jpg"/><Relationship Id="rId14" Type="http://schemas.openxmlformats.org/officeDocument/2006/relationships/hyperlink" Target="https://www.education.gouv.fr/pid285/bulletin_officiel.html?cid_bo=149115" TargetMode="External"/><Relationship Id="rId15" Type="http://schemas.openxmlformats.org/officeDocument/2006/relationships/hyperlink" Target="https://cache.media.education.gouv.fr/file/SPE8_MENJ_25_7_2019/89/7/spe244_annexe_1158897.pdf" TargetMode="External"/><Relationship Id="rId16" Type="http://schemas.openxmlformats.org/officeDocument/2006/relationships/hyperlink" Target="https://eduscol.education.fr/721/cadre-de-reference-des-competences-numeriques" TargetMode="External"/><Relationship Id="rId17" Type="http://schemas.openxmlformats.org/officeDocument/2006/relationships/hyperlink" Target="https://padlet.com/Lelivrescolaire/klblfbdkd517phd1?utm_source=Newsletter+Lelivrescolaire.fr+-+Coll&#232;ge+et+Lyc&#233;e&amp;utm_campaign=33e6cdf39a-EMAIL_CAMPAIGN_2020_09_RENTREE_COPY_01&amp;utm_medium=email&amp;utm_term=0_c5fe668fd3-33e6cdf39a-324970353" TargetMode="External"/><Relationship Id="rId18" Type="http://schemas.openxmlformats.org/officeDocument/2006/relationships/hyperlink" Target="https://www.france.tv/france-5/la-fabrique-du-mensonge/" TargetMode="External"/><Relationship Id="rId19" Type="http://schemas.openxmlformats.org/officeDocument/2006/relationships/hyperlink" Target="https://www.spicee.com/fr/episode/la-traque-aux-conspi-68" TargetMode="External"/><Relationship Id="rId20" Type="http://schemas.openxmlformats.org/officeDocument/2006/relationships/hyperlink" Target="https://www.reseau-canope.fr/notice/conspi-hunter-la-reaction-des-eleve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Arial"/>
        <a:cs typeface="Arial"/>
      </a:majorFont>
      <a:minorFont>
        <a:latin typeface="Cambria"/>
        <a:ea typeface="Arial"/>
        <a:cs typeface="Arial"/>
      </a:minorFont>
    </a:fontScheme>
    <a:fmtScheme name="Bureau">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Application>ONLYOFFICE/6.0.2.5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Aubéri</dc:creator>
  <cp:keywords/>
  <dc:description/>
  <cp:lastModifiedBy>Duchamp Auberi</cp:lastModifiedBy>
  <cp:revision>32</cp:revision>
  <dcterms:created xsi:type="dcterms:W3CDTF">2021-01-20T07:24:00Z</dcterms:created>
  <dcterms:modified xsi:type="dcterms:W3CDTF">2021-05-30T08:28:55Z</dcterms:modified>
</cp:coreProperties>
</file>