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olors10.xml" ContentType="application/vnd.ms-office.chartcolorstyle+xml"/>
  <Override PartName="/word/charts/style1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DC59F" w14:textId="77777777" w:rsidR="00A3553B" w:rsidRPr="002A62F6" w:rsidRDefault="00A3553B" w:rsidP="00A3553B">
      <w:pPr>
        <w:pStyle w:val="Titre1"/>
        <w:pBdr>
          <w:bottom w:val="single" w:sz="4" w:space="1" w:color="auto"/>
        </w:pBdr>
        <w:jc w:val="center"/>
        <w:rPr>
          <w:rFonts w:ascii="Segoe UI" w:hAnsi="Segoe UI" w:cs="Segoe UI"/>
          <w:sz w:val="28"/>
          <w:szCs w:val="28"/>
        </w:rPr>
      </w:pPr>
      <w:r w:rsidRPr="002A62F6">
        <w:rPr>
          <w:rFonts w:ascii="Segoe UI" w:hAnsi="Segoe UI" w:cs="Segoe UI"/>
          <w:sz w:val="28"/>
          <w:szCs w:val="28"/>
        </w:rPr>
        <w:t>ECO2- Item 4 : A l’aide d’un exemple, comprendre les effets sur l’équilibre de la mise en place d’une taxe ou d’une subvention.</w:t>
      </w:r>
    </w:p>
    <w:p w14:paraId="19C32919" w14:textId="77777777" w:rsidR="00A3553B" w:rsidRPr="002A62F6" w:rsidRDefault="00A3553B" w:rsidP="00A3553B">
      <w:pPr>
        <w:rPr>
          <w:rFonts w:ascii="Segoe UI" w:hAnsi="Segoe UI" w:cs="Segoe UI"/>
        </w:rPr>
      </w:pPr>
    </w:p>
    <w:p w14:paraId="6F0C70BC" w14:textId="77777777" w:rsidR="00A3553B" w:rsidRPr="002A62F6" w:rsidRDefault="00A3553B" w:rsidP="00A3553B">
      <w:pPr>
        <w:rPr>
          <w:rFonts w:ascii="Segoe UI" w:hAnsi="Segoe UI" w:cs="Segoe UI"/>
        </w:rPr>
      </w:pPr>
      <w:proofErr w:type="spellStart"/>
      <w:r w:rsidRPr="002A62F6">
        <w:rPr>
          <w:rFonts w:ascii="Segoe UI" w:hAnsi="Segoe UI" w:cs="Segoe UI"/>
          <w:b/>
          <w:bCs/>
        </w:rPr>
        <w:t>Pré-requis</w:t>
      </w:r>
      <w:proofErr w:type="spellEnd"/>
      <w:r w:rsidRPr="002A62F6">
        <w:rPr>
          <w:rFonts w:ascii="Segoe UI" w:hAnsi="Segoe UI" w:cs="Segoe UI"/>
        </w:rPr>
        <w:t xml:space="preserve"> : </w:t>
      </w:r>
    </w:p>
    <w:p w14:paraId="4B4DC62C" w14:textId="77777777" w:rsidR="00A3553B" w:rsidRPr="002A62F6" w:rsidRDefault="00A3553B" w:rsidP="00A3553B">
      <w:pPr>
        <w:pStyle w:val="Paragraphedeliste"/>
        <w:numPr>
          <w:ilvl w:val="0"/>
          <w:numId w:val="1"/>
        </w:numPr>
        <w:rPr>
          <w:rFonts w:ascii="Segoe UI" w:hAnsi="Segoe UI" w:cs="Segoe UI"/>
        </w:rPr>
      </w:pPr>
      <w:r w:rsidRPr="002A62F6">
        <w:rPr>
          <w:rFonts w:ascii="Segoe UI" w:hAnsi="Segoe UI" w:cs="Segoe UI"/>
        </w:rPr>
        <w:t>Savoir ce qu’est un marché</w:t>
      </w:r>
    </w:p>
    <w:p w14:paraId="01B852CA" w14:textId="77777777" w:rsidR="00A3553B" w:rsidRPr="002A62F6" w:rsidRDefault="00A3553B" w:rsidP="00A3553B">
      <w:pPr>
        <w:pStyle w:val="Paragraphedeliste"/>
        <w:numPr>
          <w:ilvl w:val="0"/>
          <w:numId w:val="1"/>
        </w:numPr>
        <w:rPr>
          <w:rFonts w:ascii="Segoe UI" w:hAnsi="Segoe UI" w:cs="Segoe UI"/>
        </w:rPr>
      </w:pPr>
      <w:r w:rsidRPr="002A62F6">
        <w:rPr>
          <w:rFonts w:ascii="Segoe UI" w:hAnsi="Segoe UI" w:cs="Segoe UI"/>
        </w:rPr>
        <w:t xml:space="preserve">Comprendre que la demande diminue avec les prix et l’offre augmente avec les prix. Être capable de l’illustrer et de le traduire graphiquement. </w:t>
      </w:r>
    </w:p>
    <w:p w14:paraId="174CC9D4" w14:textId="77777777" w:rsidR="00A3553B" w:rsidRPr="002A62F6" w:rsidRDefault="00A3553B" w:rsidP="00A3553B">
      <w:pPr>
        <w:pStyle w:val="Paragraphedeliste"/>
        <w:numPr>
          <w:ilvl w:val="0"/>
          <w:numId w:val="1"/>
        </w:numPr>
        <w:rPr>
          <w:rFonts w:ascii="Segoe UI" w:hAnsi="Segoe UI" w:cs="Segoe UI"/>
        </w:rPr>
      </w:pPr>
      <w:r w:rsidRPr="002A62F6">
        <w:rPr>
          <w:rFonts w:ascii="Segoe UI" w:hAnsi="Segoe UI" w:cs="Segoe UI"/>
        </w:rPr>
        <w:t>Comprendre le fonctionnement d’un marché, l’ajustement de l’équilibre notamment graphiquement</w:t>
      </w:r>
    </w:p>
    <w:p w14:paraId="77E79791" w14:textId="77777777" w:rsidR="00A3553B" w:rsidRPr="002A62F6" w:rsidRDefault="00A3553B" w:rsidP="00A3553B">
      <w:pPr>
        <w:pStyle w:val="Paragraphedeliste"/>
        <w:numPr>
          <w:ilvl w:val="0"/>
          <w:numId w:val="1"/>
        </w:numPr>
        <w:rPr>
          <w:rFonts w:ascii="Segoe UI" w:hAnsi="Segoe UI" w:cs="Segoe UI"/>
        </w:rPr>
      </w:pPr>
      <w:r w:rsidRPr="002A62F6">
        <w:rPr>
          <w:rFonts w:ascii="Segoe UI" w:hAnsi="Segoe UI" w:cs="Segoe UI"/>
        </w:rPr>
        <w:t>Connaitre les principales limites écologiques de la croissance (Item 7 ECO1)</w:t>
      </w:r>
    </w:p>
    <w:p w14:paraId="0AAE8672" w14:textId="77777777" w:rsidR="00A3553B" w:rsidRPr="002A62F6" w:rsidRDefault="00A3553B" w:rsidP="00A3553B">
      <w:pPr>
        <w:rPr>
          <w:rFonts w:ascii="Segoe UI" w:hAnsi="Segoe UI" w:cs="Segoe UI"/>
          <w:b/>
          <w:bCs/>
        </w:rPr>
      </w:pPr>
      <w:r w:rsidRPr="002A62F6">
        <w:rPr>
          <w:rFonts w:ascii="Segoe UI" w:hAnsi="Segoe UI" w:cs="Segoe UI"/>
          <w:b/>
          <w:bCs/>
        </w:rPr>
        <w:t xml:space="preserve">Objectifs : </w:t>
      </w:r>
    </w:p>
    <w:p w14:paraId="64688520" w14:textId="77777777" w:rsidR="00A3553B" w:rsidRPr="002A62F6" w:rsidRDefault="00A3553B" w:rsidP="00A3553B">
      <w:pPr>
        <w:pStyle w:val="Paragraphedeliste"/>
        <w:numPr>
          <w:ilvl w:val="0"/>
          <w:numId w:val="1"/>
        </w:numPr>
        <w:rPr>
          <w:rFonts w:ascii="Segoe UI" w:hAnsi="Segoe UI" w:cs="Segoe UI"/>
        </w:rPr>
      </w:pPr>
      <w:r w:rsidRPr="002A62F6">
        <w:rPr>
          <w:rFonts w:ascii="Segoe UI" w:hAnsi="Segoe UI" w:cs="Segoe UI"/>
        </w:rPr>
        <w:t xml:space="preserve">Comprendre qu’en situation d’équilibre, la mise en place d’une taxe ou d’une subvention modifie le prix pour le consommateur et/ou le producteur entrainant un déplacement de la courbe de demande et/ou d’offre et donc de l’équilibre. </w:t>
      </w:r>
    </w:p>
    <w:p w14:paraId="18C801EE" w14:textId="77777777" w:rsidR="00A3553B" w:rsidRPr="002A62F6" w:rsidRDefault="00A3553B" w:rsidP="00A3553B">
      <w:pPr>
        <w:pStyle w:val="Paragraphedeliste"/>
        <w:numPr>
          <w:ilvl w:val="0"/>
          <w:numId w:val="1"/>
        </w:numPr>
        <w:rPr>
          <w:rFonts w:ascii="Segoe UI" w:hAnsi="Segoe UI" w:cs="Segoe UI"/>
        </w:rPr>
      </w:pPr>
      <w:r w:rsidRPr="002A62F6">
        <w:rPr>
          <w:rFonts w:ascii="Segoe UI" w:hAnsi="Segoe UI" w:cs="Segoe UI"/>
        </w:rPr>
        <w:t>Comprendre qu’une taxe fera augmenter le prix d’équilibre et une subvention fera baisser le prix d’équilibre.</w:t>
      </w:r>
    </w:p>
    <w:p w14:paraId="4BFED11D" w14:textId="77777777" w:rsidR="00A3553B" w:rsidRPr="002A62F6" w:rsidRDefault="00A3553B" w:rsidP="00A3553B">
      <w:pPr>
        <w:rPr>
          <w:rFonts w:ascii="Segoe UI" w:hAnsi="Segoe UI" w:cs="Segoe UI"/>
        </w:rPr>
      </w:pPr>
    </w:p>
    <w:p w14:paraId="09A93495" w14:textId="77777777" w:rsidR="00A3553B" w:rsidRDefault="00A3553B" w:rsidP="00A3553B">
      <w:pPr>
        <w:pStyle w:val="Titre2"/>
      </w:pPr>
      <w:r w:rsidRPr="002A62F6">
        <w:t xml:space="preserve">L’effet de l’application d’une taxe sur l’équilibre du </w:t>
      </w:r>
      <w:r w:rsidRPr="0097215A">
        <w:t>marché</w:t>
      </w:r>
      <w:r w:rsidRPr="002A62F6">
        <w:t xml:space="preserve"> </w:t>
      </w:r>
    </w:p>
    <w:p w14:paraId="3B52F2F3" w14:textId="77777777" w:rsidR="001559AC" w:rsidRDefault="001559AC" w:rsidP="00A3553B">
      <w:pPr>
        <w:rPr>
          <w:rFonts w:ascii="Segoe UI" w:hAnsi="Segoe UI" w:cs="Segoe UI"/>
          <w:b/>
          <w:bCs/>
        </w:rPr>
      </w:pPr>
    </w:p>
    <w:p w14:paraId="783F1E4E" w14:textId="149DB34B" w:rsidR="00A3553B" w:rsidRPr="001A23EE" w:rsidRDefault="00A3553B" w:rsidP="00A3553B">
      <w:pPr>
        <w:rPr>
          <w:rFonts w:ascii="Segoe UI" w:hAnsi="Segoe UI" w:cs="Segoe UI"/>
        </w:rPr>
      </w:pPr>
      <w:r>
        <w:rPr>
          <w:rFonts w:ascii="Segoe UI" w:hAnsi="Segoe UI" w:cs="Segoe UI"/>
          <w:b/>
          <w:bCs/>
        </w:rPr>
        <w:sym w:font="Wingdings" w:char="F026"/>
      </w:r>
      <w:r>
        <w:rPr>
          <w:rFonts w:ascii="Segoe UI" w:hAnsi="Segoe UI" w:cs="Segoe UI"/>
          <w:b/>
          <w:bCs/>
        </w:rPr>
        <w:t xml:space="preserve"> Doc 1 : </w:t>
      </w:r>
      <w:hyperlink r:id="rId5" w:history="1">
        <w:r>
          <w:rPr>
            <w:rStyle w:val="Lienhypertexte"/>
            <w:b/>
            <w:bCs/>
          </w:rPr>
          <w:t>taxe carb</w:t>
        </w:r>
        <w:bookmarkStart w:id="0" w:name="_GoBack"/>
        <w:bookmarkEnd w:id="0"/>
        <w:r>
          <w:rPr>
            <w:rStyle w:val="Lienhypertexte"/>
            <w:b/>
            <w:bCs/>
          </w:rPr>
          <w:t>o</w:t>
        </w:r>
        <w:r>
          <w:rPr>
            <w:rStyle w:val="Lienhypertexte"/>
            <w:b/>
            <w:bCs/>
          </w:rPr>
          <w:t>ne</w:t>
        </w:r>
      </w:hyperlink>
    </w:p>
    <w:p w14:paraId="287A81DC" w14:textId="77777777" w:rsidR="00A3553B" w:rsidRPr="00430A3C" w:rsidRDefault="001559AC" w:rsidP="00A3553B">
      <w:pPr>
        <w:rPr>
          <w:rFonts w:ascii="Segoe UI" w:hAnsi="Segoe UI" w:cs="Segoe UI"/>
          <w:color w:val="000000" w:themeColor="text1"/>
        </w:rPr>
      </w:pPr>
      <w:r w:rsidRPr="001559AC">
        <w:rPr>
          <w:rFonts w:ascii="Segoe UI" w:hAnsi="Segoe UI" w:cs="Segoe UI"/>
          <w:b/>
          <w:bCs/>
          <w:color w:val="000000" w:themeColor="text1"/>
        </w:rPr>
        <w:sym w:font="Wingdings" w:char="F024"/>
      </w:r>
      <w:r w:rsidRPr="001559AC">
        <w:rPr>
          <w:rFonts w:ascii="Segoe UI" w:hAnsi="Segoe UI" w:cs="Segoe UI"/>
          <w:b/>
          <w:bCs/>
          <w:color w:val="000000" w:themeColor="text1"/>
        </w:rPr>
        <w:t xml:space="preserve"> </w:t>
      </w:r>
      <w:r w:rsidR="00AD7350" w:rsidRPr="001559AC">
        <w:rPr>
          <w:rFonts w:ascii="Segoe UI" w:hAnsi="Segoe UI" w:cs="Segoe UI"/>
          <w:b/>
          <w:bCs/>
          <w:color w:val="000000" w:themeColor="text1"/>
        </w:rPr>
        <w:t>Taxe</w:t>
      </w:r>
      <w:r>
        <w:rPr>
          <w:rFonts w:ascii="Segoe UI" w:hAnsi="Segoe UI" w:cs="Segoe UI"/>
          <w:color w:val="000000" w:themeColor="text1"/>
        </w:rPr>
        <w:t> : prélèvement fiscal perçu par l’Etat</w:t>
      </w:r>
    </w:p>
    <w:p w14:paraId="7ED4A192" w14:textId="77777777" w:rsidR="00A3553B" w:rsidRDefault="00A3553B" w:rsidP="00A3553B">
      <w:pPr>
        <w:rPr>
          <w:rFonts w:ascii="Segoe UI" w:hAnsi="Segoe UI" w:cs="Segoe UI"/>
          <w:b/>
          <w:bCs/>
        </w:rPr>
      </w:pPr>
      <w:r>
        <w:rPr>
          <w:rFonts w:ascii="Segoe UI" w:hAnsi="Segoe UI" w:cs="Segoe UI"/>
          <w:b/>
          <w:bCs/>
        </w:rPr>
        <w:sym w:font="Wingdings" w:char="F026"/>
      </w:r>
      <w:r>
        <w:rPr>
          <w:rFonts w:ascii="Segoe UI" w:hAnsi="Segoe UI" w:cs="Segoe UI"/>
          <w:b/>
          <w:bCs/>
        </w:rPr>
        <w:t xml:space="preserve"> Doc 2 : Le regard de l’économiste : les effets d’une taxe sur les pétroliers</w:t>
      </w:r>
    </w:p>
    <w:p w14:paraId="3E475746" w14:textId="77777777" w:rsidR="00A3553B" w:rsidRPr="002A62F6" w:rsidRDefault="00A3553B" w:rsidP="00A3553B">
      <w:pPr>
        <w:rPr>
          <w:rFonts w:ascii="Segoe UI" w:hAnsi="Segoe UI" w:cs="Segoe UI"/>
        </w:rPr>
      </w:pPr>
      <w:r w:rsidRPr="002A62F6">
        <w:rPr>
          <w:rFonts w:ascii="Segoe UI" w:hAnsi="Segoe UI" w:cs="Segoe UI"/>
          <w:noProof/>
        </w:rPr>
        <w:drawing>
          <wp:inline distT="0" distB="0" distL="0" distR="0" wp14:anchorId="435D03FC" wp14:editId="626EA194">
            <wp:extent cx="6686550" cy="326383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l="7282" t="23000" r="4852" b="45375"/>
                    <a:stretch/>
                  </pic:blipFill>
                  <pic:spPr bwMode="auto">
                    <a:xfrm rot="10800000">
                      <a:off x="0" y="0"/>
                      <a:ext cx="6700793" cy="3270784"/>
                    </a:xfrm>
                    <a:prstGeom prst="rect">
                      <a:avLst/>
                    </a:prstGeom>
                    <a:noFill/>
                    <a:ln>
                      <a:noFill/>
                    </a:ln>
                    <a:extLst>
                      <a:ext uri="{53640926-AAD7-44D8-BBD7-CCE9431645EC}">
                        <a14:shadowObscured xmlns:a14="http://schemas.microsoft.com/office/drawing/2010/main"/>
                      </a:ext>
                    </a:extLst>
                  </pic:spPr>
                </pic:pic>
              </a:graphicData>
            </a:graphic>
          </wp:inline>
        </w:drawing>
      </w:r>
    </w:p>
    <w:p w14:paraId="51EBEE5F" w14:textId="77777777" w:rsidR="00A3553B" w:rsidRDefault="00A3553B" w:rsidP="00A3553B">
      <w:pPr>
        <w:pStyle w:val="Paragraphedeliste"/>
        <w:numPr>
          <w:ilvl w:val="0"/>
          <w:numId w:val="3"/>
        </w:numPr>
        <w:rPr>
          <w:rFonts w:ascii="Segoe UI" w:hAnsi="Segoe UI" w:cs="Segoe UI"/>
        </w:rPr>
      </w:pPr>
      <w:r w:rsidRPr="002A62F6">
        <w:rPr>
          <w:rFonts w:ascii="Segoe UI" w:hAnsi="Segoe UI" w:cs="Segoe UI"/>
        </w:rPr>
        <w:t xml:space="preserve">Comment pouvez-vous expliquer l’instauration d’une taxe </w:t>
      </w:r>
      <w:r>
        <w:rPr>
          <w:rFonts w:ascii="Segoe UI" w:hAnsi="Segoe UI" w:cs="Segoe UI"/>
        </w:rPr>
        <w:t>sur les produits pétroliers, tel</w:t>
      </w:r>
      <w:r w:rsidR="001559AC">
        <w:rPr>
          <w:rFonts w:ascii="Segoe UI" w:hAnsi="Segoe UI" w:cs="Segoe UI"/>
        </w:rPr>
        <w:t>le</w:t>
      </w:r>
      <w:r>
        <w:rPr>
          <w:rFonts w:ascii="Segoe UI" w:hAnsi="Segoe UI" w:cs="Segoe UI"/>
        </w:rPr>
        <w:t xml:space="preserve"> que la taxe carbone</w:t>
      </w:r>
      <w:r w:rsidRPr="002A62F6">
        <w:rPr>
          <w:rFonts w:ascii="Segoe UI" w:hAnsi="Segoe UI" w:cs="Segoe UI"/>
        </w:rPr>
        <w:t xml:space="preserve"> (utilisez vos connaissances sur le chapitre ECO1 et la vidéo vue en amont)</w:t>
      </w:r>
    </w:p>
    <w:p w14:paraId="63249976" w14:textId="77777777" w:rsidR="00A3553B" w:rsidRDefault="00A3553B" w:rsidP="00A3553B">
      <w:pPr>
        <w:pStyle w:val="Paragraphedeliste"/>
        <w:numPr>
          <w:ilvl w:val="0"/>
          <w:numId w:val="3"/>
        </w:numPr>
        <w:rPr>
          <w:rFonts w:ascii="Segoe UI" w:hAnsi="Segoe UI" w:cs="Segoe UI"/>
        </w:rPr>
      </w:pPr>
      <w:r w:rsidRPr="002A62F6">
        <w:rPr>
          <w:rFonts w:ascii="Segoe UI" w:hAnsi="Segoe UI" w:cs="Segoe UI"/>
        </w:rPr>
        <w:t xml:space="preserve">Expliquez pourquoi, suite à l’application de la taxe, la quantité offerte est plus faible pour chaque prix entrainant un déplacement de la courbe vers la gauche. </w:t>
      </w:r>
    </w:p>
    <w:p w14:paraId="0E2033BD" w14:textId="77777777" w:rsidR="00A3553B" w:rsidRPr="002A62F6" w:rsidRDefault="00A3553B" w:rsidP="00A3553B">
      <w:pPr>
        <w:pStyle w:val="Paragraphedeliste"/>
        <w:numPr>
          <w:ilvl w:val="0"/>
          <w:numId w:val="3"/>
        </w:numPr>
        <w:rPr>
          <w:rFonts w:ascii="Segoe UI" w:hAnsi="Segoe UI" w:cs="Segoe UI"/>
        </w:rPr>
      </w:pPr>
      <w:r w:rsidRPr="002A62F6">
        <w:rPr>
          <w:rFonts w:ascii="Segoe UI" w:hAnsi="Segoe UI" w:cs="Segoe UI"/>
        </w:rPr>
        <w:lastRenderedPageBreak/>
        <w:t>Expliquez la dernière phrase du document</w:t>
      </w:r>
    </w:p>
    <w:p w14:paraId="046D9468" w14:textId="77777777" w:rsidR="00A3553B" w:rsidRPr="002A62F6" w:rsidRDefault="00A3553B" w:rsidP="00A3553B">
      <w:pPr>
        <w:pStyle w:val="Titre2"/>
      </w:pPr>
      <w:r w:rsidRPr="002A62F6">
        <w:t xml:space="preserve">L’effet de l’application d’une subvention sur l’équilibre du marché </w:t>
      </w:r>
    </w:p>
    <w:p w14:paraId="7AE31CD7" w14:textId="681D2007" w:rsidR="001559AC" w:rsidRDefault="001559AC" w:rsidP="00A3553B">
      <w:pPr>
        <w:pStyle w:val="Titre1"/>
        <w:rPr>
          <w:rFonts w:ascii="Segoe UI" w:hAnsi="Segoe UI" w:cs="Segoe UI"/>
          <w:b w:val="0"/>
          <w:bCs w:val="0"/>
          <w:sz w:val="22"/>
          <w:szCs w:val="22"/>
        </w:rPr>
      </w:pPr>
      <w:r w:rsidRPr="002A62F6">
        <w:rPr>
          <w:rFonts w:ascii="Segoe UI" w:hAnsi="Segoe UI" w:cs="Segoe UI"/>
          <w:b w:val="0"/>
          <w:bCs w:val="0"/>
          <w:noProof/>
          <w:sz w:val="22"/>
          <w:szCs w:val="22"/>
        </w:rPr>
        <mc:AlternateContent>
          <mc:Choice Requires="wps">
            <w:drawing>
              <wp:anchor distT="0" distB="0" distL="114300" distR="114300" simplePos="0" relativeHeight="251661312" behindDoc="0" locked="0" layoutInCell="1" allowOverlap="1" wp14:anchorId="45772DE2" wp14:editId="082802B5">
                <wp:simplePos x="0" y="0"/>
                <wp:positionH relativeFrom="column">
                  <wp:posOffset>5850255</wp:posOffset>
                </wp:positionH>
                <wp:positionV relativeFrom="paragraph">
                  <wp:posOffset>1725295</wp:posOffset>
                </wp:positionV>
                <wp:extent cx="628650" cy="257175"/>
                <wp:effectExtent l="0" t="0" r="19050" b="28575"/>
                <wp:wrapNone/>
                <wp:docPr id="8" name="Zone de texte 8"/>
                <wp:cNvGraphicFramePr/>
                <a:graphic xmlns:a="http://schemas.openxmlformats.org/drawingml/2006/main">
                  <a:graphicData uri="http://schemas.microsoft.com/office/word/2010/wordprocessingShape">
                    <wps:wsp>
                      <wps:cNvSpPr txBox="1"/>
                      <wps:spPr>
                        <a:xfrm>
                          <a:off x="0" y="0"/>
                          <a:ext cx="628650" cy="257175"/>
                        </a:xfrm>
                        <a:prstGeom prst="rect">
                          <a:avLst/>
                        </a:prstGeom>
                        <a:solidFill>
                          <a:schemeClr val="lt1"/>
                        </a:solidFill>
                        <a:ln w="6350">
                          <a:solidFill>
                            <a:schemeClr val="bg1"/>
                          </a:solidFill>
                        </a:ln>
                      </wps:spPr>
                      <wps:txbx>
                        <w:txbxContent>
                          <w:p w14:paraId="41592C4D" w14:textId="77777777" w:rsidR="00A3553B" w:rsidRDefault="00A3553B" w:rsidP="00A3553B">
                            <w:r>
                              <w:t xml:space="preserve">Offre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772DE2" id="_x0000_t202" coordsize="21600,21600" o:spt="202" path="m,l,21600r21600,l21600,xe">
                <v:stroke joinstyle="miter"/>
                <v:path gradientshapeok="t" o:connecttype="rect"/>
              </v:shapetype>
              <v:shape id="Zone de texte 8" o:spid="_x0000_s1026" type="#_x0000_t202" style="position:absolute;margin-left:460.65pt;margin-top:135.85pt;width:49.5pt;height:2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" fillcolor="white [3201]" strokecolor="white [3212]" strokeweight=".5pt">
                <v:textbox>
                  <w:txbxContent>
                    <w:p w14:paraId="41592C4D" w14:textId="77777777" w:rsidR="00A3553B" w:rsidRDefault="00A3553B" w:rsidP="00A3553B">
                      <w:bookmarkStart w:id="1" w:name="_GoBack"/>
                      <w:r>
                        <w:t xml:space="preserve">Offre </w:t>
                      </w:r>
                      <w:bookmarkEnd w:id="1"/>
                    </w:p>
                  </w:txbxContent>
                </v:textbox>
              </v:shape>
            </w:pict>
          </mc:Fallback>
        </mc:AlternateContent>
      </w:r>
      <w:r w:rsidR="00A3553B" w:rsidRPr="002A62F6">
        <w:rPr>
          <w:rFonts w:ascii="Segoe UI" w:hAnsi="Segoe UI" w:cs="Segoe UI"/>
          <w:b w:val="0"/>
          <w:bCs w:val="0"/>
          <w:sz w:val="22"/>
          <w:szCs w:val="22"/>
        </w:rPr>
        <w:t>Vous êtes conseiller régional et membre de la commission du développement durable et de l'aménagement du territoire de votre région. Vous souhaitez proposer une subvention versée aux entreprises proposant des abonnements pour les transports en commun. Cette subvention est de 5 € par abonnement mensuel. Vous devez préparer un argumentaire rapide afin de défendre votre projet en intégrant un graphique</w:t>
      </w:r>
      <w:r>
        <w:rPr>
          <w:rFonts w:ascii="Segoe UI" w:hAnsi="Segoe UI" w:cs="Segoe UI"/>
          <w:b w:val="0"/>
          <w:bCs w:val="0"/>
          <w:sz w:val="22"/>
          <w:szCs w:val="22"/>
        </w:rPr>
        <w:t>.</w:t>
      </w:r>
    </w:p>
    <w:p w14:paraId="75D653BF" w14:textId="40628FF9" w:rsidR="00A3553B" w:rsidRDefault="00821408" w:rsidP="00A3553B">
      <w:pPr>
        <w:pStyle w:val="Titre1"/>
        <w:rPr>
          <w:rFonts w:ascii="Segoe UI" w:hAnsi="Segoe UI" w:cs="Segoe UI"/>
          <w:b w:val="0"/>
          <w:bCs w:val="0"/>
          <w:sz w:val="22"/>
          <w:szCs w:val="22"/>
        </w:rPr>
      </w:pPr>
      <w:r w:rsidRPr="002A62F6">
        <w:rPr>
          <w:rFonts w:ascii="Segoe UI" w:hAnsi="Segoe UI" w:cs="Segoe UI"/>
          <w:b w:val="0"/>
          <w:bCs w:val="0"/>
          <w:noProof/>
          <w:sz w:val="22"/>
          <w:szCs w:val="22"/>
        </w:rPr>
        <mc:AlternateContent>
          <mc:Choice Requires="wps">
            <w:drawing>
              <wp:anchor distT="0" distB="0" distL="114300" distR="114300" simplePos="0" relativeHeight="251660288" behindDoc="0" locked="0" layoutInCell="1" allowOverlap="1" wp14:anchorId="01FC97CC" wp14:editId="678B3AC7">
                <wp:simplePos x="0" y="0"/>
                <wp:positionH relativeFrom="column">
                  <wp:posOffset>5392420</wp:posOffset>
                </wp:positionH>
                <wp:positionV relativeFrom="paragraph">
                  <wp:posOffset>2500630</wp:posOffset>
                </wp:positionV>
                <wp:extent cx="752475" cy="266700"/>
                <wp:effectExtent l="0" t="0" r="9525" b="0"/>
                <wp:wrapNone/>
                <wp:docPr id="7" name="Zone de texte 7"/>
                <wp:cNvGraphicFramePr/>
                <a:graphic xmlns:a="http://schemas.openxmlformats.org/drawingml/2006/main">
                  <a:graphicData uri="http://schemas.microsoft.com/office/word/2010/wordprocessingShape">
                    <wps:wsp>
                      <wps:cNvSpPr txBox="1"/>
                      <wps:spPr>
                        <a:xfrm>
                          <a:off x="0" y="0"/>
                          <a:ext cx="752475" cy="266700"/>
                        </a:xfrm>
                        <a:prstGeom prst="rect">
                          <a:avLst/>
                        </a:prstGeom>
                        <a:solidFill>
                          <a:schemeClr val="lt1"/>
                        </a:solidFill>
                        <a:ln w="6350">
                          <a:noFill/>
                        </a:ln>
                      </wps:spPr>
                      <wps:txbx>
                        <w:txbxContent>
                          <w:p w14:paraId="32D5C709" w14:textId="77777777" w:rsidR="00A3553B" w:rsidRDefault="00A3553B" w:rsidP="00A3553B">
                            <w:r>
                              <w:t>Demande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FC97CC" id="Zone de texte 7" o:spid="_x0000_s1027" type="#_x0000_t202" style="position:absolute;margin-left:424.6pt;margin-top:196.9pt;width:59.25pt;height:2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" fillcolor="white [3201]" stroked="f" strokeweight=".5pt">
                <v:textbox>
                  <w:txbxContent>
                    <w:p w14:paraId="32D5C709" w14:textId="77777777" w:rsidR="00A3553B" w:rsidRDefault="00A3553B" w:rsidP="00A3553B">
                      <w:r>
                        <w:t>Demande</w:t>
                      </w:r>
                    </w:p>
                  </w:txbxContent>
                </v:textbox>
              </v:shape>
            </w:pict>
          </mc:Fallback>
        </mc:AlternateContent>
      </w:r>
      <w:r w:rsidR="001559AC" w:rsidRPr="002A62F6">
        <w:rPr>
          <w:rFonts w:ascii="Segoe UI" w:hAnsi="Segoe UI" w:cs="Segoe UI"/>
          <w:b w:val="0"/>
          <w:bCs w:val="0"/>
          <w:noProof/>
          <w:sz w:val="22"/>
          <w:szCs w:val="22"/>
        </w:rPr>
        <mc:AlternateContent>
          <mc:Choice Requires="wps">
            <w:drawing>
              <wp:anchor distT="45720" distB="45720" distL="114300" distR="114300" simplePos="0" relativeHeight="251659264" behindDoc="0" locked="0" layoutInCell="1" allowOverlap="1" wp14:anchorId="533F7031" wp14:editId="43BFDEDE">
                <wp:simplePos x="0" y="0"/>
                <wp:positionH relativeFrom="column">
                  <wp:posOffset>-26670</wp:posOffset>
                </wp:positionH>
                <wp:positionV relativeFrom="paragraph">
                  <wp:posOffset>300355</wp:posOffset>
                </wp:positionV>
                <wp:extent cx="6791325" cy="1404620"/>
                <wp:effectExtent l="0" t="0" r="28575" b="133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404620"/>
                        </a:xfrm>
                        <a:prstGeom prst="rect">
                          <a:avLst/>
                        </a:prstGeom>
                        <a:solidFill>
                          <a:srgbClr val="FFFFFF"/>
                        </a:solidFill>
                        <a:ln w="9525">
                          <a:solidFill>
                            <a:srgbClr val="000000"/>
                          </a:solidFill>
                          <a:miter lim="800000"/>
                          <a:headEnd/>
                          <a:tailEnd/>
                        </a:ln>
                      </wps:spPr>
                      <wps:txbx>
                        <w:txbxContent>
                          <w:p w14:paraId="0A649E4C" w14:textId="77777777" w:rsidR="00A3553B" w:rsidRDefault="00A3553B" w:rsidP="00A3553B">
                            <w:r>
                              <w:rPr>
                                <w:noProof/>
                              </w:rPr>
                              <w:drawing>
                                <wp:inline distT="0" distB="0" distL="0" distR="0" wp14:anchorId="65C4AC9D" wp14:editId="451EF30E">
                                  <wp:extent cx="6524625" cy="3286125"/>
                                  <wp:effectExtent l="0" t="0" r="9525" b="9525"/>
                                  <wp:docPr id="1" name="Graphique 1">
                                    <a:extLst xmlns:a="http://schemas.openxmlformats.org/drawingml/2006/main">
                                      <a:ext uri="{FF2B5EF4-FFF2-40B4-BE49-F238E27FC236}">
                                        <a16:creationId xmlns:a16="http://schemas.microsoft.com/office/drawing/2014/main" id="{34894977-211C-427A-A22E-D8448FEBD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F7031" id="Zone de texte 2" o:spid="_x0000_s1028" type="#_x0000_t202" style="position:absolute;margin-left:-2.1pt;margin-top:23.65pt;width:534.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">
                <v:textbox style="mso-fit-shape-to-text:t">
                  <w:txbxContent>
                    <w:p w14:paraId="0A649E4C" w14:textId="77777777" w:rsidR="00A3553B" w:rsidRDefault="00A3553B" w:rsidP="00A3553B">
                      <w:r>
                        <w:rPr>
                          <w:noProof/>
                        </w:rPr>
                        <w:drawing>
                          <wp:inline distT="0" distB="0" distL="0" distR="0" wp14:anchorId="65C4AC9D" wp14:editId="451EF30E">
                            <wp:extent cx="6524625" cy="3286125"/>
                            <wp:effectExtent l="0" t="0" r="9525" b="9525"/>
                            <wp:docPr id="1" name="Graphique 1">
                              <a:extLst xmlns:a="http://schemas.openxmlformats.org/drawingml/2006/main">
                                <a:ext uri="{FF2B5EF4-FFF2-40B4-BE49-F238E27FC236}">
                                  <a16:creationId xmlns:a16="http://schemas.microsoft.com/office/drawing/2014/main" id="{34894977-211C-427A-A22E-D8448FEBD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w10:wrap type="square"/>
              </v:shape>
            </w:pict>
          </mc:Fallback>
        </mc:AlternateContent>
      </w:r>
      <w:r w:rsidR="001559AC">
        <w:rPr>
          <w:rFonts w:ascii="Segoe UI" w:hAnsi="Segoe UI" w:cs="Segoe UI"/>
          <w:b w:val="0"/>
          <w:bCs w:val="0"/>
          <w:sz w:val="22"/>
          <w:szCs w:val="22"/>
        </w:rPr>
        <w:t>Utilisez ce qui a été fait précédemment ainsi que le graphique ci-dessous.</w:t>
      </w:r>
    </w:p>
    <w:p w14:paraId="3A57B91A" w14:textId="77777777" w:rsidR="00A3553B" w:rsidRDefault="001559AC" w:rsidP="001559AC">
      <w:pPr>
        <w:pStyle w:val="Titre1"/>
        <w:rPr>
          <w:rFonts w:ascii="Segoe UI" w:hAnsi="Segoe UI" w:cs="Segoe UI"/>
          <w:b w:val="0"/>
          <w:bCs w:val="0"/>
          <w:sz w:val="22"/>
          <w:szCs w:val="22"/>
        </w:rPr>
      </w:pPr>
      <w:r w:rsidRPr="001559AC">
        <w:rPr>
          <w:rFonts w:ascii="Segoe UI" w:hAnsi="Segoe UI" w:cs="Segoe UI"/>
          <w:sz w:val="22"/>
          <w:szCs w:val="22"/>
        </w:rPr>
        <w:sym w:font="Wingdings" w:char="F024"/>
      </w:r>
      <w:r w:rsidRPr="001559AC">
        <w:rPr>
          <w:rFonts w:ascii="Segoe UI" w:hAnsi="Segoe UI" w:cs="Segoe UI"/>
          <w:sz w:val="22"/>
          <w:szCs w:val="22"/>
        </w:rPr>
        <w:t xml:space="preserve"> Subvention</w:t>
      </w:r>
      <w:r>
        <w:rPr>
          <w:rFonts w:ascii="Segoe UI" w:hAnsi="Segoe UI" w:cs="Segoe UI"/>
          <w:b w:val="0"/>
          <w:bCs w:val="0"/>
          <w:sz w:val="22"/>
          <w:szCs w:val="22"/>
        </w:rPr>
        <w:t> : aide financière accord</w:t>
      </w:r>
      <w:r w:rsidR="00AD7350">
        <w:rPr>
          <w:rFonts w:ascii="Segoe UI" w:hAnsi="Segoe UI" w:cs="Segoe UI"/>
          <w:b w:val="0"/>
          <w:bCs w:val="0"/>
          <w:sz w:val="22"/>
          <w:szCs w:val="22"/>
        </w:rPr>
        <w:t>ée</w:t>
      </w:r>
      <w:r>
        <w:rPr>
          <w:rFonts w:ascii="Segoe UI" w:hAnsi="Segoe UI" w:cs="Segoe UI"/>
          <w:b w:val="0"/>
          <w:bCs w:val="0"/>
          <w:sz w:val="22"/>
          <w:szCs w:val="22"/>
        </w:rPr>
        <w:t xml:space="preserve"> par l’Etat</w:t>
      </w:r>
      <w:r w:rsidR="00AD7350">
        <w:rPr>
          <w:rFonts w:ascii="Segoe UI" w:hAnsi="Segoe UI" w:cs="Segoe UI"/>
          <w:b w:val="0"/>
          <w:bCs w:val="0"/>
          <w:sz w:val="22"/>
          <w:szCs w:val="22"/>
        </w:rPr>
        <w:t xml:space="preserve"> sur la production ou la consommation. </w:t>
      </w:r>
    </w:p>
    <w:p w14:paraId="5264F7E1" w14:textId="77777777" w:rsidR="00AD7350" w:rsidRPr="002A62F6" w:rsidRDefault="00AD7350" w:rsidP="001559AC">
      <w:pPr>
        <w:pStyle w:val="Titre1"/>
        <w:rPr>
          <w:rFonts w:ascii="Segoe UI" w:hAnsi="Segoe UI" w:cs="Segoe UI"/>
        </w:rPr>
      </w:pPr>
    </w:p>
    <w:p w14:paraId="06865FFD" w14:textId="77777777" w:rsidR="00A3553B" w:rsidRPr="002A62F6" w:rsidRDefault="00A3553B" w:rsidP="00A3553B">
      <w:pPr>
        <w:rPr>
          <w:rFonts w:ascii="Segoe UI" w:hAnsi="Segoe UI" w:cs="Segoe UI"/>
        </w:rPr>
      </w:pPr>
    </w:p>
    <w:p w14:paraId="6C1D19F1" w14:textId="77777777" w:rsidR="00A3553B" w:rsidRPr="002A62F6" w:rsidRDefault="00A3553B" w:rsidP="00A3553B">
      <w:pPr>
        <w:rPr>
          <w:rFonts w:ascii="Segoe UI" w:hAnsi="Segoe UI" w:cs="Segoe UI"/>
        </w:rPr>
      </w:pPr>
    </w:p>
    <w:p w14:paraId="337912C3" w14:textId="77777777" w:rsidR="00A3553B" w:rsidRPr="002A62F6" w:rsidRDefault="00A3553B" w:rsidP="00A3553B">
      <w:pPr>
        <w:rPr>
          <w:rFonts w:ascii="Segoe UI" w:hAnsi="Segoe UI" w:cs="Segoe UI"/>
        </w:rPr>
      </w:pPr>
    </w:p>
    <w:p w14:paraId="46D17F02" w14:textId="77777777" w:rsidR="00A3553B" w:rsidRPr="002A62F6" w:rsidRDefault="00A3553B" w:rsidP="00A3553B">
      <w:pPr>
        <w:rPr>
          <w:rFonts w:ascii="Segoe UI" w:hAnsi="Segoe UI" w:cs="Segoe UI"/>
        </w:rPr>
      </w:pPr>
    </w:p>
    <w:p w14:paraId="6E024418" w14:textId="77777777" w:rsidR="00A3553B" w:rsidRPr="002A62F6" w:rsidRDefault="00A3553B" w:rsidP="00A3553B">
      <w:pPr>
        <w:rPr>
          <w:rFonts w:ascii="Segoe UI" w:hAnsi="Segoe UI" w:cs="Segoe UI"/>
        </w:rPr>
      </w:pPr>
    </w:p>
    <w:p w14:paraId="67FB3AC9" w14:textId="77777777" w:rsidR="00A3553B" w:rsidRPr="002A62F6" w:rsidRDefault="00A3553B" w:rsidP="00A3553B">
      <w:pPr>
        <w:rPr>
          <w:rFonts w:ascii="Segoe UI" w:hAnsi="Segoe UI" w:cs="Segoe UI"/>
        </w:rPr>
      </w:pPr>
    </w:p>
    <w:p w14:paraId="2C0B2AC8" w14:textId="77777777" w:rsidR="009C3082" w:rsidRDefault="009C3082"/>
    <w:sectPr w:rsidR="009C3082" w:rsidSect="00F279C2">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75453C"/>
    <w:multiLevelType w:val="hybridMultilevel"/>
    <w:tmpl w:val="2E6C2C5C"/>
    <w:lvl w:ilvl="0" w:tplc="B22497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4255120"/>
    <w:multiLevelType w:val="hybridMultilevel"/>
    <w:tmpl w:val="A336C5E2"/>
    <w:lvl w:ilvl="0" w:tplc="F588E88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98468B7"/>
    <w:multiLevelType w:val="hybridMultilevel"/>
    <w:tmpl w:val="F7D2D998"/>
    <w:lvl w:ilvl="0" w:tplc="369EC3A2">
      <w:start w:val="1"/>
      <w:numFmt w:val="upperRoman"/>
      <w:pStyle w:val="Titre2"/>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53B"/>
    <w:rsid w:val="000E4501"/>
    <w:rsid w:val="001559AC"/>
    <w:rsid w:val="00164609"/>
    <w:rsid w:val="00821408"/>
    <w:rsid w:val="009C3082"/>
    <w:rsid w:val="00A3553B"/>
    <w:rsid w:val="00AD7350"/>
    <w:rsid w:val="00F867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F28C4"/>
  <w15:chartTrackingRefBased/>
  <w15:docId w15:val="{6B0E3192-053B-4010-B3A6-8CF29F25E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53B"/>
  </w:style>
  <w:style w:type="paragraph" w:styleId="Titre1">
    <w:name w:val="heading 1"/>
    <w:basedOn w:val="Normal"/>
    <w:link w:val="Titre1Car"/>
    <w:uiPriority w:val="9"/>
    <w:qFormat/>
    <w:rsid w:val="00A355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Paragraphedeliste"/>
    <w:next w:val="Normal"/>
    <w:link w:val="Titre2Car"/>
    <w:uiPriority w:val="9"/>
    <w:unhideWhenUsed/>
    <w:qFormat/>
    <w:rsid w:val="00A3553B"/>
    <w:pPr>
      <w:numPr>
        <w:numId w:val="2"/>
      </w:numPr>
      <w:pBdr>
        <w:bottom w:val="single" w:sz="4" w:space="1" w:color="auto"/>
      </w:pBdr>
      <w:outlineLvl w:val="1"/>
    </w:pPr>
    <w:rPr>
      <w:rFonts w:ascii="Segoe UI" w:hAnsi="Segoe UI" w:cs="Segoe UI"/>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3553B"/>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A3553B"/>
    <w:rPr>
      <w:rFonts w:ascii="Segoe UI" w:hAnsi="Segoe UI" w:cs="Segoe UI"/>
      <w:b/>
      <w:bCs/>
    </w:rPr>
  </w:style>
  <w:style w:type="paragraph" w:styleId="Paragraphedeliste">
    <w:name w:val="List Paragraph"/>
    <w:basedOn w:val="Normal"/>
    <w:uiPriority w:val="34"/>
    <w:qFormat/>
    <w:rsid w:val="00A3553B"/>
    <w:pPr>
      <w:ind w:left="720"/>
      <w:contextualSpacing/>
    </w:pPr>
  </w:style>
  <w:style w:type="character" w:styleId="Lienhypertexte">
    <w:name w:val="Hyperlink"/>
    <w:basedOn w:val="Policepardfaut"/>
    <w:uiPriority w:val="99"/>
    <w:unhideWhenUsed/>
    <w:rsid w:val="00A3553B"/>
    <w:rPr>
      <w:color w:val="0563C1" w:themeColor="hyperlink"/>
      <w:u w:val="single"/>
    </w:rPr>
  </w:style>
  <w:style w:type="character" w:styleId="Lienhypertextesuivivisit">
    <w:name w:val="FollowedHyperlink"/>
    <w:basedOn w:val="Policepardfaut"/>
    <w:uiPriority w:val="99"/>
    <w:semiHidden/>
    <w:unhideWhenUsed/>
    <w:rsid w:val="00A355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drive.google.com/file/d/1oQpXIWEFgFMRp4zK17G0LshZbXFKVYCI/view?usp=sharin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oleObject" Target="Classeur3"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Classeur3" TargetMode="External"/><Relationship Id="rId2" Type="http://schemas.microsoft.com/office/2011/relationships/chartColorStyle" Target="colors10.xml"/><Relationship Id="rId1" Type="http://schemas.microsoft.com/office/2011/relationships/chartStyle" Target="style1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effet d'une subvention</a:t>
            </a:r>
            <a:r>
              <a:rPr lang="fr-FR" baseline="0"/>
              <a:t> pour les entreprises de transport en commun</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Feuil1!$C$2</c:f>
              <c:strCache>
                <c:ptCount val="1"/>
                <c:pt idx="0">
                  <c:v>demande</c:v>
                </c:pt>
              </c:strCache>
            </c:strRef>
          </c:tx>
          <c:spPr>
            <a:ln w="19050" cap="rnd">
              <a:solidFill>
                <a:schemeClr val="accent1"/>
              </a:solidFill>
              <a:round/>
            </a:ln>
            <a:effectLst/>
          </c:spPr>
          <c:marker>
            <c:symbol val="none"/>
          </c:marker>
          <c:xVal>
            <c:numRef>
              <c:f>Feuil1!$C$3:$C$13</c:f>
              <c:numCache>
                <c:formatCode>General</c:formatCode>
                <c:ptCount val="11"/>
                <c:pt idx="1">
                  <c:v>500</c:v>
                </c:pt>
                <c:pt idx="2">
                  <c:v>450</c:v>
                </c:pt>
                <c:pt idx="3">
                  <c:v>400</c:v>
                </c:pt>
                <c:pt idx="4">
                  <c:v>350</c:v>
                </c:pt>
                <c:pt idx="5">
                  <c:v>300</c:v>
                </c:pt>
                <c:pt idx="6">
                  <c:v>250</c:v>
                </c:pt>
                <c:pt idx="7">
                  <c:v>200</c:v>
                </c:pt>
                <c:pt idx="8">
                  <c:v>150</c:v>
                </c:pt>
                <c:pt idx="9">
                  <c:v>100</c:v>
                </c:pt>
                <c:pt idx="10">
                  <c:v>50</c:v>
                </c:pt>
              </c:numCache>
            </c:numRef>
          </c:xVal>
          <c:yVal>
            <c:numRef>
              <c:f>Feuil1!$B$3:$B$13</c:f>
              <c:numCache>
                <c:formatCode>General</c:formatCode>
                <c:ptCount val="11"/>
                <c:pt idx="1">
                  <c:v>5</c:v>
                </c:pt>
                <c:pt idx="2">
                  <c:v>10</c:v>
                </c:pt>
                <c:pt idx="3">
                  <c:v>15</c:v>
                </c:pt>
                <c:pt idx="4">
                  <c:v>20</c:v>
                </c:pt>
                <c:pt idx="5">
                  <c:v>25</c:v>
                </c:pt>
                <c:pt idx="6">
                  <c:v>30</c:v>
                </c:pt>
                <c:pt idx="7">
                  <c:v>35</c:v>
                </c:pt>
                <c:pt idx="8">
                  <c:v>40</c:v>
                </c:pt>
                <c:pt idx="9">
                  <c:v>45</c:v>
                </c:pt>
                <c:pt idx="10">
                  <c:v>50</c:v>
                </c:pt>
              </c:numCache>
            </c:numRef>
          </c:yVal>
          <c:smooth val="0"/>
          <c:extLst>
            <c:ext xmlns:c16="http://schemas.microsoft.com/office/drawing/2014/chart" uri="{C3380CC4-5D6E-409C-BE32-E72D297353CC}">
              <c16:uniqueId val="{00000000-0AD6-47EE-ACD8-E514989C9100}"/>
            </c:ext>
          </c:extLst>
        </c:ser>
        <c:ser>
          <c:idx val="1"/>
          <c:order val="1"/>
          <c:tx>
            <c:strRef>
              <c:f>Feuil1!$D$2</c:f>
              <c:strCache>
                <c:ptCount val="1"/>
                <c:pt idx="0">
                  <c:v>offre 1</c:v>
                </c:pt>
              </c:strCache>
            </c:strRef>
          </c:tx>
          <c:spPr>
            <a:ln w="19050" cap="rnd">
              <a:solidFill>
                <a:schemeClr val="accent2"/>
              </a:solidFill>
              <a:round/>
            </a:ln>
            <a:effectLst/>
          </c:spPr>
          <c:marker>
            <c:symbol val="none"/>
          </c:marker>
          <c:xVal>
            <c:numRef>
              <c:f>Feuil1!$D$3:$D$13</c:f>
              <c:numCache>
                <c:formatCode>General</c:formatCode>
                <c:ptCount val="11"/>
                <c:pt idx="1">
                  <c:v>100</c:v>
                </c:pt>
                <c:pt idx="2">
                  <c:v>150</c:v>
                </c:pt>
                <c:pt idx="3">
                  <c:v>200</c:v>
                </c:pt>
                <c:pt idx="4">
                  <c:v>250</c:v>
                </c:pt>
                <c:pt idx="5">
                  <c:v>300</c:v>
                </c:pt>
                <c:pt idx="6">
                  <c:v>350</c:v>
                </c:pt>
                <c:pt idx="7">
                  <c:v>400</c:v>
                </c:pt>
                <c:pt idx="8">
                  <c:v>450</c:v>
                </c:pt>
                <c:pt idx="9">
                  <c:v>500</c:v>
                </c:pt>
                <c:pt idx="10">
                  <c:v>550</c:v>
                </c:pt>
              </c:numCache>
            </c:numRef>
          </c:xVal>
          <c:yVal>
            <c:numRef>
              <c:f>Feuil1!$B$3:$B$13</c:f>
              <c:numCache>
                <c:formatCode>General</c:formatCode>
                <c:ptCount val="11"/>
                <c:pt idx="1">
                  <c:v>5</c:v>
                </c:pt>
                <c:pt idx="2">
                  <c:v>10</c:v>
                </c:pt>
                <c:pt idx="3">
                  <c:v>15</c:v>
                </c:pt>
                <c:pt idx="4">
                  <c:v>20</c:v>
                </c:pt>
                <c:pt idx="5">
                  <c:v>25</c:v>
                </c:pt>
                <c:pt idx="6">
                  <c:v>30</c:v>
                </c:pt>
                <c:pt idx="7">
                  <c:v>35</c:v>
                </c:pt>
                <c:pt idx="8">
                  <c:v>40</c:v>
                </c:pt>
                <c:pt idx="9">
                  <c:v>45</c:v>
                </c:pt>
                <c:pt idx="10">
                  <c:v>50</c:v>
                </c:pt>
              </c:numCache>
            </c:numRef>
          </c:yVal>
          <c:smooth val="0"/>
          <c:extLst>
            <c:ext xmlns:c16="http://schemas.microsoft.com/office/drawing/2014/chart" uri="{C3380CC4-5D6E-409C-BE32-E72D297353CC}">
              <c16:uniqueId val="{00000001-0AD6-47EE-ACD8-E514989C9100}"/>
            </c:ext>
          </c:extLst>
        </c:ser>
        <c:dLbls>
          <c:showLegendKey val="0"/>
          <c:showVal val="0"/>
          <c:showCatName val="0"/>
          <c:showSerName val="0"/>
          <c:showPercent val="0"/>
          <c:showBubbleSize val="0"/>
        </c:dLbls>
        <c:axId val="539625856"/>
        <c:axId val="539626184"/>
      </c:scatterChart>
      <c:valAx>
        <c:axId val="539625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fr-FR" sz="1400"/>
                  <a:t>nombre d'abonnements</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9626184"/>
        <c:crosses val="autoZero"/>
        <c:crossBetween val="midCat"/>
      </c:valAx>
      <c:valAx>
        <c:axId val="539626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fr-FR" sz="1200"/>
                  <a:t>prix de l'abonnement mensuel</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962585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effet d'une subvention</a:t>
            </a:r>
            <a:r>
              <a:rPr lang="fr-FR" baseline="0"/>
              <a:t> pour les entreprises de transport en commun</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Feuil1!$C$2</c:f>
              <c:strCache>
                <c:ptCount val="1"/>
                <c:pt idx="0">
                  <c:v>demande</c:v>
                </c:pt>
              </c:strCache>
            </c:strRef>
          </c:tx>
          <c:spPr>
            <a:ln w="19050" cap="rnd">
              <a:solidFill>
                <a:schemeClr val="accent1"/>
              </a:solidFill>
              <a:round/>
            </a:ln>
            <a:effectLst/>
          </c:spPr>
          <c:marker>
            <c:symbol val="none"/>
          </c:marker>
          <c:xVal>
            <c:numRef>
              <c:f>Feuil1!$C$3:$C$13</c:f>
              <c:numCache>
                <c:formatCode>General</c:formatCode>
                <c:ptCount val="11"/>
                <c:pt idx="1">
                  <c:v>500</c:v>
                </c:pt>
                <c:pt idx="2">
                  <c:v>450</c:v>
                </c:pt>
                <c:pt idx="3">
                  <c:v>400</c:v>
                </c:pt>
                <c:pt idx="4">
                  <c:v>350</c:v>
                </c:pt>
                <c:pt idx="5">
                  <c:v>300</c:v>
                </c:pt>
                <c:pt idx="6">
                  <c:v>250</c:v>
                </c:pt>
                <c:pt idx="7">
                  <c:v>200</c:v>
                </c:pt>
                <c:pt idx="8">
                  <c:v>150</c:v>
                </c:pt>
                <c:pt idx="9">
                  <c:v>100</c:v>
                </c:pt>
                <c:pt idx="10">
                  <c:v>50</c:v>
                </c:pt>
              </c:numCache>
            </c:numRef>
          </c:xVal>
          <c:yVal>
            <c:numRef>
              <c:f>Feuil1!$B$3:$B$13</c:f>
              <c:numCache>
                <c:formatCode>General</c:formatCode>
                <c:ptCount val="11"/>
                <c:pt idx="1">
                  <c:v>5</c:v>
                </c:pt>
                <c:pt idx="2">
                  <c:v>10</c:v>
                </c:pt>
                <c:pt idx="3">
                  <c:v>15</c:v>
                </c:pt>
                <c:pt idx="4">
                  <c:v>20</c:v>
                </c:pt>
                <c:pt idx="5">
                  <c:v>25</c:v>
                </c:pt>
                <c:pt idx="6">
                  <c:v>30</c:v>
                </c:pt>
                <c:pt idx="7">
                  <c:v>35</c:v>
                </c:pt>
                <c:pt idx="8">
                  <c:v>40</c:v>
                </c:pt>
                <c:pt idx="9">
                  <c:v>45</c:v>
                </c:pt>
                <c:pt idx="10">
                  <c:v>50</c:v>
                </c:pt>
              </c:numCache>
            </c:numRef>
          </c:yVal>
          <c:smooth val="0"/>
          <c:extLst>
            <c:ext xmlns:c16="http://schemas.microsoft.com/office/drawing/2014/chart" uri="{C3380CC4-5D6E-409C-BE32-E72D297353CC}">
              <c16:uniqueId val="{00000000-0AD6-47EE-ACD8-E514989C9100}"/>
            </c:ext>
          </c:extLst>
        </c:ser>
        <c:ser>
          <c:idx val="1"/>
          <c:order val="1"/>
          <c:tx>
            <c:strRef>
              <c:f>Feuil1!$D$2</c:f>
              <c:strCache>
                <c:ptCount val="1"/>
                <c:pt idx="0">
                  <c:v>offre 1</c:v>
                </c:pt>
              </c:strCache>
            </c:strRef>
          </c:tx>
          <c:spPr>
            <a:ln w="19050" cap="rnd">
              <a:solidFill>
                <a:schemeClr val="accent2"/>
              </a:solidFill>
              <a:round/>
            </a:ln>
            <a:effectLst/>
          </c:spPr>
          <c:marker>
            <c:symbol val="none"/>
          </c:marker>
          <c:xVal>
            <c:numRef>
              <c:f>Feuil1!$D$3:$D$13</c:f>
              <c:numCache>
                <c:formatCode>General</c:formatCode>
                <c:ptCount val="11"/>
                <c:pt idx="1">
                  <c:v>100</c:v>
                </c:pt>
                <c:pt idx="2">
                  <c:v>150</c:v>
                </c:pt>
                <c:pt idx="3">
                  <c:v>200</c:v>
                </c:pt>
                <c:pt idx="4">
                  <c:v>250</c:v>
                </c:pt>
                <c:pt idx="5">
                  <c:v>300</c:v>
                </c:pt>
                <c:pt idx="6">
                  <c:v>350</c:v>
                </c:pt>
                <c:pt idx="7">
                  <c:v>400</c:v>
                </c:pt>
                <c:pt idx="8">
                  <c:v>450</c:v>
                </c:pt>
                <c:pt idx="9">
                  <c:v>500</c:v>
                </c:pt>
                <c:pt idx="10">
                  <c:v>550</c:v>
                </c:pt>
              </c:numCache>
            </c:numRef>
          </c:xVal>
          <c:yVal>
            <c:numRef>
              <c:f>Feuil1!$B$3:$B$13</c:f>
              <c:numCache>
                <c:formatCode>General</c:formatCode>
                <c:ptCount val="11"/>
                <c:pt idx="1">
                  <c:v>5</c:v>
                </c:pt>
                <c:pt idx="2">
                  <c:v>10</c:v>
                </c:pt>
                <c:pt idx="3">
                  <c:v>15</c:v>
                </c:pt>
                <c:pt idx="4">
                  <c:v>20</c:v>
                </c:pt>
                <c:pt idx="5">
                  <c:v>25</c:v>
                </c:pt>
                <c:pt idx="6">
                  <c:v>30</c:v>
                </c:pt>
                <c:pt idx="7">
                  <c:v>35</c:v>
                </c:pt>
                <c:pt idx="8">
                  <c:v>40</c:v>
                </c:pt>
                <c:pt idx="9">
                  <c:v>45</c:v>
                </c:pt>
                <c:pt idx="10">
                  <c:v>50</c:v>
                </c:pt>
              </c:numCache>
            </c:numRef>
          </c:yVal>
          <c:smooth val="0"/>
          <c:extLst>
            <c:ext xmlns:c16="http://schemas.microsoft.com/office/drawing/2014/chart" uri="{C3380CC4-5D6E-409C-BE32-E72D297353CC}">
              <c16:uniqueId val="{00000001-0AD6-47EE-ACD8-E514989C9100}"/>
            </c:ext>
          </c:extLst>
        </c:ser>
        <c:dLbls>
          <c:showLegendKey val="0"/>
          <c:showVal val="0"/>
          <c:showCatName val="0"/>
          <c:showSerName val="0"/>
          <c:showPercent val="0"/>
          <c:showBubbleSize val="0"/>
        </c:dLbls>
        <c:axId val="539625856"/>
        <c:axId val="539626184"/>
      </c:scatterChart>
      <c:valAx>
        <c:axId val="539625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fr-FR" sz="1400"/>
                  <a:t>nombre d'abonnements</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9626184"/>
        <c:crosses val="autoZero"/>
        <c:crossBetween val="midCat"/>
      </c:valAx>
      <c:valAx>
        <c:axId val="539626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fr-FR" sz="1200"/>
                  <a:t>prix de l'abonnement mensuel</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962585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337</Words>
  <Characters>1857</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gaelle battu</dc:creator>
  <cp:keywords/>
  <dc:description/>
  <cp:lastModifiedBy>gaelle battu</cp:lastModifiedBy>
  <cp:revision>3</cp:revision>
  <dcterms:created xsi:type="dcterms:W3CDTF">2019-08-20T14:30:00Z</dcterms:created>
  <dcterms:modified xsi:type="dcterms:W3CDTF">2019-08-20T15:23:00Z</dcterms:modified>
</cp:coreProperties>
</file>