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2C" w:rsidRDefault="00A3402C">
      <w:pPr>
        <w:rPr>
          <w:b/>
        </w:rPr>
      </w:pPr>
    </w:p>
    <w:tbl>
      <w:tblPr>
        <w:tblStyle w:val="Grilledutableau"/>
        <w:tblW w:w="10740" w:type="dxa"/>
        <w:tblInd w:w="-45" w:type="dxa"/>
        <w:tblCellMar>
          <w:left w:w="63" w:type="dxa"/>
        </w:tblCellMar>
        <w:tblLook w:val="04A0" w:firstRow="1" w:lastRow="0" w:firstColumn="1" w:lastColumn="0" w:noHBand="0" w:noVBand="1"/>
      </w:tblPr>
      <w:tblGrid>
        <w:gridCol w:w="2660"/>
        <w:gridCol w:w="8080"/>
      </w:tblGrid>
      <w:tr w:rsidR="00A3402C" w:rsidTr="00301872">
        <w:tc>
          <w:tcPr>
            <w:tcW w:w="2660" w:type="dxa"/>
            <w:shd w:val="clear" w:color="auto" w:fill="auto"/>
            <w:tcMar>
              <w:left w:w="63" w:type="dxa"/>
            </w:tcMar>
          </w:tcPr>
          <w:p w:rsidR="00A3402C" w:rsidRDefault="006042C9">
            <w:pPr>
              <w:rPr>
                <w:b/>
                <w:sz w:val="28"/>
                <w:szCs w:val="32"/>
              </w:rPr>
            </w:pPr>
            <w:r>
              <w:rPr>
                <w:b/>
                <w:sz w:val="28"/>
                <w:szCs w:val="32"/>
              </w:rPr>
              <w:t>Niveau</w:t>
            </w:r>
          </w:p>
        </w:tc>
        <w:tc>
          <w:tcPr>
            <w:tcW w:w="8080" w:type="dxa"/>
            <w:shd w:val="clear" w:color="auto" w:fill="auto"/>
            <w:tcMar>
              <w:left w:w="63" w:type="dxa"/>
            </w:tcMar>
          </w:tcPr>
          <w:p w:rsidR="00A3402C" w:rsidRDefault="006042C9" w:rsidP="00301872">
            <w:pPr>
              <w:jc w:val="center"/>
              <w:rPr>
                <w:b/>
                <w:sz w:val="28"/>
                <w:szCs w:val="32"/>
              </w:rPr>
            </w:pPr>
            <w:r>
              <w:rPr>
                <w:b/>
                <w:sz w:val="28"/>
                <w:szCs w:val="32"/>
              </w:rPr>
              <w:t>Première –</w:t>
            </w:r>
            <w:r>
              <w:rPr>
                <w:b/>
                <w:sz w:val="28"/>
                <w:szCs w:val="32"/>
              </w:rPr>
              <w:t xml:space="preserve">Regards croisés </w:t>
            </w:r>
          </w:p>
        </w:tc>
      </w:tr>
      <w:tr w:rsidR="00A3402C" w:rsidTr="00301872">
        <w:tc>
          <w:tcPr>
            <w:tcW w:w="2660" w:type="dxa"/>
            <w:shd w:val="clear" w:color="auto" w:fill="auto"/>
            <w:tcMar>
              <w:left w:w="63" w:type="dxa"/>
            </w:tcMar>
          </w:tcPr>
          <w:p w:rsidR="00A3402C" w:rsidRDefault="006042C9">
            <w:pPr>
              <w:rPr>
                <w:b/>
                <w:sz w:val="28"/>
                <w:szCs w:val="32"/>
              </w:rPr>
            </w:pPr>
            <w:r>
              <w:rPr>
                <w:b/>
                <w:sz w:val="28"/>
                <w:szCs w:val="32"/>
              </w:rPr>
              <w:t>Questionnement</w:t>
            </w:r>
          </w:p>
          <w:p w:rsidR="00A3402C" w:rsidRDefault="006042C9">
            <w:pPr>
              <w:rPr>
                <w:b/>
                <w:sz w:val="28"/>
                <w:szCs w:val="32"/>
              </w:rPr>
            </w:pPr>
            <w:r>
              <w:rPr>
                <w:sz w:val="28"/>
                <w:szCs w:val="32"/>
              </w:rPr>
              <w:t>(cf. programme)</w:t>
            </w:r>
          </w:p>
        </w:tc>
        <w:tc>
          <w:tcPr>
            <w:tcW w:w="8080" w:type="dxa"/>
            <w:shd w:val="clear" w:color="auto" w:fill="auto"/>
            <w:tcMar>
              <w:left w:w="63" w:type="dxa"/>
            </w:tcMar>
          </w:tcPr>
          <w:p w:rsidR="00A3402C" w:rsidRDefault="00301872" w:rsidP="00301872">
            <w:pPr>
              <w:rPr>
                <w:b/>
                <w:sz w:val="20"/>
                <w:szCs w:val="32"/>
              </w:rPr>
            </w:pPr>
            <w:r w:rsidRPr="00301872">
              <w:rPr>
                <w:b/>
                <w:sz w:val="32"/>
                <w:szCs w:val="32"/>
              </w:rPr>
              <w:t xml:space="preserve">RC 2 : Comment les entreprises sont-elles organisées et gouvernées ? </w:t>
            </w:r>
          </w:p>
        </w:tc>
      </w:tr>
      <w:tr w:rsidR="00A3402C" w:rsidTr="00301872">
        <w:tc>
          <w:tcPr>
            <w:tcW w:w="2660" w:type="dxa"/>
            <w:shd w:val="clear" w:color="auto" w:fill="auto"/>
            <w:tcMar>
              <w:left w:w="63" w:type="dxa"/>
            </w:tcMar>
          </w:tcPr>
          <w:p w:rsidR="00A3402C" w:rsidRDefault="006042C9">
            <w:pPr>
              <w:rPr>
                <w:b/>
                <w:sz w:val="28"/>
                <w:szCs w:val="32"/>
              </w:rPr>
            </w:pPr>
            <w:r>
              <w:rPr>
                <w:b/>
                <w:sz w:val="28"/>
                <w:szCs w:val="32"/>
              </w:rPr>
              <w:t>Objectifs d’apprentissage</w:t>
            </w:r>
          </w:p>
          <w:p w:rsidR="00A3402C" w:rsidRDefault="006042C9">
            <w:pPr>
              <w:rPr>
                <w:sz w:val="28"/>
                <w:szCs w:val="32"/>
              </w:rPr>
            </w:pPr>
            <w:r>
              <w:rPr>
                <w:sz w:val="28"/>
                <w:szCs w:val="32"/>
              </w:rPr>
              <w:t>(cf. programme)</w:t>
            </w:r>
          </w:p>
        </w:tc>
        <w:tc>
          <w:tcPr>
            <w:tcW w:w="8080" w:type="dxa"/>
            <w:shd w:val="clear" w:color="auto" w:fill="auto"/>
            <w:tcMar>
              <w:left w:w="63" w:type="dxa"/>
            </w:tcMar>
          </w:tcPr>
          <w:p w:rsidR="00A3402C" w:rsidRDefault="00301872" w:rsidP="00301872">
            <w:pPr>
              <w:rPr>
                <w:b/>
                <w:sz w:val="28"/>
                <w:szCs w:val="32"/>
              </w:rPr>
            </w:pPr>
            <w:r>
              <w:rPr>
                <w:i/>
                <w:sz w:val="28"/>
                <w:szCs w:val="32"/>
              </w:rPr>
              <w:t xml:space="preserve">Comprendre qu’une entreprise est un lieu de relations sociales (coopération, hiérarchie, conflit) entre différentes parties prenantes (salariés, managers, propriétaires/actionnaires, partenaires d’une coopérative). </w:t>
            </w:r>
          </w:p>
        </w:tc>
      </w:tr>
      <w:tr w:rsidR="00A3402C" w:rsidTr="00301872">
        <w:tc>
          <w:tcPr>
            <w:tcW w:w="2660" w:type="dxa"/>
            <w:shd w:val="clear" w:color="auto" w:fill="auto"/>
            <w:tcMar>
              <w:left w:w="63" w:type="dxa"/>
            </w:tcMar>
          </w:tcPr>
          <w:p w:rsidR="00A3402C" w:rsidRDefault="006042C9">
            <w:pPr>
              <w:rPr>
                <w:b/>
                <w:sz w:val="28"/>
                <w:szCs w:val="32"/>
              </w:rPr>
            </w:pPr>
            <w:r>
              <w:rPr>
                <w:b/>
                <w:sz w:val="28"/>
                <w:szCs w:val="32"/>
              </w:rPr>
              <w:t>Concepteur(s)</w:t>
            </w:r>
          </w:p>
        </w:tc>
        <w:tc>
          <w:tcPr>
            <w:tcW w:w="8080" w:type="dxa"/>
            <w:shd w:val="clear" w:color="auto" w:fill="auto"/>
            <w:tcMar>
              <w:left w:w="63" w:type="dxa"/>
            </w:tcMar>
          </w:tcPr>
          <w:p w:rsidR="00A3402C" w:rsidRDefault="00301872" w:rsidP="00301872">
            <w:pPr>
              <w:rPr>
                <w:i/>
                <w:sz w:val="28"/>
                <w:szCs w:val="32"/>
              </w:rPr>
            </w:pPr>
            <w:r>
              <w:rPr>
                <w:i/>
                <w:sz w:val="28"/>
                <w:szCs w:val="32"/>
              </w:rPr>
              <w:t>sybille-anne-gi.bonzon@ac-besancon.fr</w:t>
            </w:r>
          </w:p>
        </w:tc>
      </w:tr>
    </w:tbl>
    <w:p w:rsidR="00A3402C" w:rsidRDefault="00A3402C">
      <w:pPr>
        <w:rPr>
          <w:b/>
        </w:rPr>
      </w:pPr>
    </w:p>
    <w:p w:rsidR="00301872" w:rsidRDefault="00301872" w:rsidP="00301872">
      <w:pPr>
        <w:rPr>
          <w:rFonts w:ascii="Arial" w:hAnsi="Arial" w:cs="Arial"/>
          <w:b/>
          <w:sz w:val="20"/>
          <w:szCs w:val="20"/>
          <w:u w:val="single"/>
        </w:rPr>
      </w:pPr>
      <w:r>
        <w:rPr>
          <w:rFonts w:ascii="Arial" w:hAnsi="Arial" w:cs="Arial"/>
          <w:b/>
          <w:sz w:val="20"/>
          <w:szCs w:val="20"/>
          <w:u w:val="single"/>
        </w:rPr>
        <w:t>Première partie : Mobilisation de connaissances et traitement de l’information (10 points)</w:t>
      </w:r>
    </w:p>
    <w:p w:rsidR="00301872" w:rsidRDefault="00301872" w:rsidP="00301872">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i/>
          <w:iCs/>
          <w:sz w:val="18"/>
          <w:szCs w:val="18"/>
        </w:rPr>
      </w:pPr>
      <w:r>
        <w:rPr>
          <w:rFonts w:ascii="Arial" w:hAnsi="Arial" w:cs="Arial"/>
          <w:i/>
          <w:iCs/>
          <w:sz w:val="18"/>
          <w:szCs w:val="18"/>
        </w:rPr>
        <w:t xml:space="preserve">RAPPEL : </w:t>
      </w:r>
      <w:r w:rsidRPr="008832E3">
        <w:rPr>
          <w:rFonts w:ascii="Arial" w:hAnsi="Arial" w:cs="Arial"/>
          <w:i/>
          <w:iCs/>
          <w:sz w:val="18"/>
          <w:szCs w:val="18"/>
        </w:rPr>
        <w:t xml:space="preserve">Première partie (Mobilisation de connaissances et traitement de l’information), il est demandé au candidat de répondre aux questions en mobilisant les connaissances acquises dans le cadre du programme, en adoptant une démarche méthodologique rigoureuse de collecte et d’exploitation de données quantitatives, et en ayant recours le cas échéant à des résolutions graphiques. </w:t>
      </w:r>
    </w:p>
    <w:p w:rsidR="00301872" w:rsidRDefault="00301872" w:rsidP="0030187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Arial" w:hAnsi="Arial" w:cs="Arial"/>
          <w:i/>
          <w:iCs/>
          <w:sz w:val="18"/>
          <w:szCs w:val="18"/>
        </w:rPr>
      </w:pPr>
      <w:r w:rsidRPr="008832E3">
        <w:rPr>
          <w:rFonts w:ascii="Arial" w:hAnsi="Arial" w:cs="Arial"/>
          <w:i/>
          <w:iCs/>
          <w:sz w:val="18"/>
          <w:szCs w:val="18"/>
        </w:rPr>
        <w:t>L’usage de la calculatrice est strictement interdit.</w:t>
      </w:r>
    </w:p>
    <w:p w:rsidR="00301872" w:rsidRPr="008832E3" w:rsidRDefault="00301872" w:rsidP="00301872">
      <w:pPr>
        <w:pBdr>
          <w:top w:val="single" w:sz="4" w:space="1" w:color="auto"/>
          <w:left w:val="single" w:sz="4" w:space="4" w:color="auto"/>
          <w:bottom w:val="single" w:sz="4" w:space="1" w:color="auto"/>
          <w:right w:val="single" w:sz="4" w:space="4" w:color="auto"/>
        </w:pBdr>
        <w:spacing w:before="100" w:beforeAutospacing="1" w:after="100" w:afterAutospacing="1"/>
        <w:jc w:val="center"/>
      </w:pPr>
      <w:r w:rsidRPr="008832E3">
        <w:rPr>
          <w:rFonts w:ascii="Arial" w:hAnsi="Arial" w:cs="Arial"/>
          <w:i/>
          <w:iCs/>
          <w:sz w:val="18"/>
          <w:szCs w:val="18"/>
        </w:rPr>
        <w:t>Il sera tenu compte, dans la notation, de la clarté́ de l’expression et du soin apporté à la présentation.</w:t>
      </w:r>
    </w:p>
    <w:p w:rsidR="00301872" w:rsidRDefault="00301872" w:rsidP="00301872">
      <w:pPr>
        <w:jc w:val="center"/>
        <w:rPr>
          <w:rFonts w:ascii="Arial" w:hAnsi="Arial" w:cs="Arial"/>
          <w:b/>
          <w:sz w:val="20"/>
          <w:szCs w:val="20"/>
          <w:u w:val="single"/>
        </w:rPr>
      </w:pPr>
      <w:r>
        <w:rPr>
          <w:rFonts w:ascii="Arial" w:hAnsi="Arial" w:cs="Arial"/>
          <w:b/>
          <w:sz w:val="20"/>
          <w:szCs w:val="20"/>
          <w:u w:val="single"/>
        </w:rPr>
        <w:t>Document : La responsabilité sociétale des entreprises</w:t>
      </w:r>
      <w:r>
        <w:rPr>
          <w:rFonts w:ascii="Arial" w:hAnsi="Arial" w:cs="Arial"/>
          <w:b/>
          <w:sz w:val="20"/>
          <w:szCs w:val="20"/>
          <w:u w:val="single"/>
        </w:rPr>
        <w:t>*</w:t>
      </w:r>
      <w:r>
        <w:rPr>
          <w:rFonts w:ascii="Arial" w:hAnsi="Arial" w:cs="Arial"/>
          <w:b/>
          <w:sz w:val="20"/>
          <w:szCs w:val="20"/>
          <w:u w:val="single"/>
        </w:rPr>
        <w:t xml:space="preserve"> selon la taille et le secteur d’activité (France, entreprises de plus de 50 salariés), Données en %.</w:t>
      </w:r>
    </w:p>
    <w:p w:rsidR="00301872" w:rsidRPr="005163EF" w:rsidRDefault="00301872" w:rsidP="00301872">
      <w:pPr>
        <w:pStyle w:val="Sansinterligne1"/>
        <w:jc w:val="both"/>
        <w:rPr>
          <w:rFonts w:ascii="Arial" w:hAnsi="Arial" w:cs="Arial"/>
          <w:color w:val="000000" w:themeColor="text1"/>
          <w:sz w:val="18"/>
          <w:szCs w:val="20"/>
        </w:rPr>
      </w:pPr>
      <w:r w:rsidRPr="005163EF">
        <w:rPr>
          <w:rFonts w:ascii="Arial" w:hAnsi="Arial" w:cs="Arial"/>
          <w:b/>
          <w:sz w:val="18"/>
          <w:szCs w:val="20"/>
        </w:rPr>
        <w:t xml:space="preserve">*RSE : </w:t>
      </w:r>
      <w:r w:rsidRPr="005163EF">
        <w:rPr>
          <w:rFonts w:ascii="Arial" w:hAnsi="Arial" w:cs="Arial"/>
          <w:color w:val="000000" w:themeColor="text1"/>
          <w:sz w:val="18"/>
          <w:szCs w:val="20"/>
        </w:rPr>
        <w:t>Fait qu’une entreprise ait des préoccupations sociales et environnementales</w:t>
      </w:r>
      <w:r w:rsidRPr="005163EF">
        <w:rPr>
          <w:rFonts w:ascii="Arial" w:hAnsi="Arial" w:cs="Arial"/>
          <w:color w:val="000000" w:themeColor="text1"/>
          <w:sz w:val="18"/>
          <w:szCs w:val="20"/>
        </w:rPr>
        <w:t xml:space="preserve"> : </w:t>
      </w:r>
      <w:r w:rsidRPr="005163EF">
        <w:rPr>
          <w:rFonts w:ascii="Arial" w:hAnsi="Arial" w:cs="Arial"/>
          <w:color w:val="000000" w:themeColor="text1"/>
          <w:sz w:val="18"/>
          <w:szCs w:val="20"/>
        </w:rPr>
        <w:t>« </w:t>
      </w:r>
      <w:r w:rsidRPr="005163EF">
        <w:rPr>
          <w:i/>
          <w:iCs/>
          <w:color w:val="000000" w:themeColor="text1"/>
          <w:sz w:val="20"/>
        </w:rPr>
        <w:t>la responsabilité des entreprises vis-à-vis des effets qu’elles exercent sur la société</w:t>
      </w:r>
      <w:r w:rsidRPr="005163EF">
        <w:rPr>
          <w:rFonts w:ascii="Arial" w:hAnsi="Arial" w:cs="Arial"/>
          <w:color w:val="000000" w:themeColor="text1"/>
          <w:sz w:val="18"/>
          <w:szCs w:val="20"/>
        </w:rPr>
        <w:t> » (</w:t>
      </w:r>
      <w:r w:rsidRPr="005163EF">
        <w:rPr>
          <w:rFonts w:ascii="Arial" w:hAnsi="Arial" w:cs="Arial"/>
          <w:color w:val="000000" w:themeColor="text1"/>
          <w:sz w:val="18"/>
          <w:szCs w:val="20"/>
        </w:rPr>
        <w:t>Commission Européenne, dans sa 3ème Communication Sur la RSE (2011)</w:t>
      </w:r>
      <w:r w:rsidRPr="005163EF">
        <w:rPr>
          <w:rFonts w:ascii="Arial" w:hAnsi="Arial" w:cs="Arial"/>
          <w:color w:val="000000" w:themeColor="text1"/>
          <w:sz w:val="18"/>
          <w:szCs w:val="20"/>
        </w:rPr>
        <w:t>)</w:t>
      </w:r>
    </w:p>
    <w:p w:rsidR="00301872" w:rsidRPr="006E777B" w:rsidRDefault="00301872" w:rsidP="00301872">
      <w:r w:rsidRPr="006E777B">
        <w:fldChar w:fldCharType="begin"/>
      </w:r>
      <w:r w:rsidR="00E41AE5">
        <w:instrText xml:space="preserve"> INCLUDEPICTURE "K:\\var\\folders\\h9\\2ch34t_j1tl0wyb5l0znyxth0000gn\\T\\com.microsoft.Word\\WebArchiveCopyPasteTempFiles\\graphique2.jpg" \* MERGEFORMAT </w:instrText>
      </w:r>
      <w:r w:rsidRPr="006E777B">
        <w:fldChar w:fldCharType="separate"/>
      </w:r>
      <w:r w:rsidRPr="006E777B">
        <w:rPr>
          <w:noProof/>
        </w:rPr>
        <w:drawing>
          <wp:inline distT="0" distB="0" distL="0" distR="0" wp14:anchorId="0D2B0EAD" wp14:editId="47DEBC64">
            <wp:extent cx="6642100" cy="4187825"/>
            <wp:effectExtent l="0" t="0" r="0" b="0"/>
            <wp:docPr id="4" name="Image 1" descr="/var/folders/h9/2ch34t_j1tl0wyb5l0znyxth0000gn/T/com.microsoft.Word/WebArchiveCopyPasteTempFiles/graphiqu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h9/2ch34t_j1tl0wyb5l0znyxth0000gn/T/com.microsoft.Word/WebArchiveCopyPasteTempFiles/graphique2.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4187825"/>
                    </a:xfrm>
                    <a:prstGeom prst="rect">
                      <a:avLst/>
                    </a:prstGeom>
                    <a:noFill/>
                    <a:ln>
                      <a:noFill/>
                    </a:ln>
                  </pic:spPr>
                </pic:pic>
              </a:graphicData>
            </a:graphic>
          </wp:inline>
        </w:drawing>
      </w:r>
      <w:r w:rsidRPr="006E777B">
        <w:fldChar w:fldCharType="end"/>
      </w:r>
    </w:p>
    <w:p w:rsidR="00301872" w:rsidRDefault="00301872" w:rsidP="00301872">
      <w:pPr>
        <w:rPr>
          <w:rFonts w:ascii="Arial" w:hAnsi="Arial" w:cs="Arial"/>
          <w:b/>
          <w:sz w:val="20"/>
          <w:szCs w:val="20"/>
          <w:u w:val="single"/>
        </w:rPr>
      </w:pPr>
    </w:p>
    <w:p w:rsidR="00301872" w:rsidRPr="00A153DE" w:rsidRDefault="00301872" w:rsidP="00301872">
      <w:pPr>
        <w:spacing w:before="75"/>
        <w:ind w:left="-360"/>
        <w:textAlignment w:val="baseline"/>
        <w:rPr>
          <w:rFonts w:ascii="Arial" w:hAnsi="Arial" w:cs="Arial"/>
          <w:color w:val="000000" w:themeColor="text1"/>
          <w:sz w:val="15"/>
          <w:szCs w:val="21"/>
        </w:rPr>
      </w:pPr>
      <w:r w:rsidRPr="00A153DE">
        <w:rPr>
          <w:rFonts w:ascii="Arial" w:hAnsi="Arial" w:cs="Arial"/>
          <w:color w:val="000000" w:themeColor="text1"/>
          <w:sz w:val="15"/>
          <w:szCs w:val="21"/>
        </w:rPr>
        <w:t>2. Les services rendus principalement aux ménages regroupent les activités de l'hébergement et de la restauration, les activités immobilières, les réparations d'ordinateurs et de biens personnels et domestiques et les autres services personnels</w:t>
      </w:r>
    </w:p>
    <w:p w:rsidR="00301872" w:rsidRPr="00A153DE" w:rsidRDefault="00301872" w:rsidP="00301872">
      <w:pPr>
        <w:spacing w:before="75"/>
        <w:ind w:left="-360"/>
        <w:textAlignment w:val="baseline"/>
        <w:rPr>
          <w:rFonts w:ascii="Arial" w:hAnsi="Arial" w:cs="Arial"/>
          <w:color w:val="000000" w:themeColor="text1"/>
          <w:sz w:val="15"/>
          <w:szCs w:val="21"/>
        </w:rPr>
      </w:pPr>
      <w:r w:rsidRPr="00A153DE">
        <w:rPr>
          <w:rFonts w:ascii="Arial" w:hAnsi="Arial" w:cs="Arial"/>
          <w:color w:val="000000" w:themeColor="text1"/>
          <w:sz w:val="15"/>
          <w:szCs w:val="21"/>
        </w:rPr>
        <w:t>3. Les services rendus principalement aux entreprises regroupent les activités spécialisées, scientifiques et techniques et les activités de services administratifs et de soutien</w:t>
      </w:r>
    </w:p>
    <w:p w:rsidR="00301872" w:rsidRPr="00A153DE" w:rsidRDefault="00301872" w:rsidP="00301872">
      <w:pPr>
        <w:spacing w:before="75"/>
        <w:ind w:left="-360"/>
        <w:textAlignment w:val="baseline"/>
        <w:rPr>
          <w:rFonts w:ascii="Arial" w:hAnsi="Arial" w:cs="Arial"/>
          <w:color w:val="000000" w:themeColor="text1"/>
          <w:sz w:val="18"/>
          <w:szCs w:val="21"/>
        </w:rPr>
      </w:pPr>
      <w:r w:rsidRPr="00A153DE">
        <w:rPr>
          <w:rFonts w:ascii="Arial" w:hAnsi="Arial" w:cs="Arial"/>
          <w:color w:val="000000" w:themeColor="text1"/>
          <w:sz w:val="18"/>
          <w:szCs w:val="21"/>
        </w:rPr>
        <w:t>Lecture : 64 % des sociétés de 50 salariés ou plus connaissent la notion de RSE et 52 % d'entre elles mènent des actions qui en relèvent.</w:t>
      </w:r>
      <w:r w:rsidRPr="00A153DE">
        <w:t> </w:t>
      </w:r>
    </w:p>
    <w:p w:rsidR="00301872" w:rsidRPr="00A153DE" w:rsidRDefault="00301872" w:rsidP="00301872">
      <w:pPr>
        <w:spacing w:before="75"/>
        <w:ind w:left="-360"/>
        <w:textAlignment w:val="baseline"/>
        <w:rPr>
          <w:rFonts w:ascii="Arial" w:hAnsi="Arial" w:cs="Arial"/>
          <w:color w:val="000000" w:themeColor="text1"/>
          <w:sz w:val="18"/>
          <w:szCs w:val="21"/>
        </w:rPr>
      </w:pPr>
      <w:r w:rsidRPr="00A153DE">
        <w:rPr>
          <w:rFonts w:ascii="Arial" w:hAnsi="Arial" w:cs="Arial"/>
          <w:color w:val="000000" w:themeColor="text1"/>
          <w:sz w:val="18"/>
          <w:szCs w:val="21"/>
        </w:rPr>
        <w:t>Champ : sociétés de 50 salariés ou plus hors sociétés agricoles, financières et d'assurance, France.</w:t>
      </w:r>
      <w:r w:rsidRPr="00A153DE">
        <w:rPr>
          <w:rStyle w:val="apple-converted-space"/>
          <w:rFonts w:ascii="Arial" w:hAnsi="Arial" w:cs="Arial"/>
          <w:color w:val="000000" w:themeColor="text1"/>
          <w:sz w:val="18"/>
          <w:szCs w:val="21"/>
        </w:rPr>
        <w:t> </w:t>
      </w:r>
    </w:p>
    <w:p w:rsidR="00301872" w:rsidRPr="00A153DE" w:rsidRDefault="00301872" w:rsidP="00301872">
      <w:pPr>
        <w:spacing w:before="75"/>
        <w:ind w:left="-360"/>
        <w:textAlignment w:val="baseline"/>
        <w:rPr>
          <w:rFonts w:ascii="Arial" w:hAnsi="Arial" w:cs="Arial"/>
          <w:color w:val="000000" w:themeColor="text1"/>
          <w:sz w:val="18"/>
          <w:szCs w:val="21"/>
        </w:rPr>
      </w:pPr>
      <w:r w:rsidRPr="00A153DE">
        <w:rPr>
          <w:rFonts w:ascii="Arial" w:hAnsi="Arial" w:cs="Arial"/>
          <w:color w:val="000000" w:themeColor="text1"/>
          <w:sz w:val="18"/>
          <w:szCs w:val="21"/>
        </w:rPr>
        <w:t>Source : Insee, enquête sur les entreprises et le développement durable 2011.</w:t>
      </w:r>
    </w:p>
    <w:p w:rsidR="00301872" w:rsidRDefault="00301872" w:rsidP="00301872">
      <w:pPr>
        <w:rPr>
          <w:rFonts w:ascii="Arial" w:hAnsi="Arial" w:cs="Arial"/>
          <w:b/>
          <w:color w:val="000000" w:themeColor="text1"/>
          <w:sz w:val="20"/>
          <w:szCs w:val="20"/>
          <w:u w:val="single"/>
        </w:rPr>
      </w:pPr>
    </w:p>
    <w:p w:rsidR="00301872" w:rsidRDefault="00301872" w:rsidP="00301872">
      <w:pPr>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QUESTIONS : </w:t>
      </w:r>
    </w:p>
    <w:p w:rsidR="00301872" w:rsidRPr="001E1610" w:rsidRDefault="00B64A1B" w:rsidP="00301872">
      <w:pPr>
        <w:pStyle w:val="Paragraphedeliste"/>
        <w:numPr>
          <w:ilvl w:val="0"/>
          <w:numId w:val="1"/>
        </w:numPr>
        <w:ind w:left="360"/>
        <w:jc w:val="both"/>
        <w:rPr>
          <w:rFonts w:ascii="Arial" w:hAnsi="Arial" w:cs="Arial"/>
          <w:b/>
          <w:color w:val="000000" w:themeColor="text1"/>
          <w:sz w:val="20"/>
          <w:szCs w:val="20"/>
        </w:rPr>
      </w:pPr>
      <w:r>
        <w:rPr>
          <w:rFonts w:ascii="Arial" w:hAnsi="Arial" w:cs="Arial"/>
          <w:b/>
          <w:color w:val="000000" w:themeColor="text1"/>
          <w:sz w:val="20"/>
          <w:szCs w:val="20"/>
        </w:rPr>
        <w:t xml:space="preserve">A partir de deux exemples, montrez qu’une entreprise qui veut </w:t>
      </w:r>
      <w:r w:rsidRPr="00B64A1B">
        <w:rPr>
          <w:rFonts w:ascii="Arial" w:hAnsi="Arial" w:cs="Arial"/>
          <w:b/>
          <w:color w:val="000000" w:themeColor="text1"/>
          <w:sz w:val="20"/>
          <w:szCs w:val="20"/>
        </w:rPr>
        <w:t xml:space="preserve">se comporter de manière </w:t>
      </w:r>
      <w:r>
        <w:rPr>
          <w:rFonts w:ascii="Arial" w:hAnsi="Arial" w:cs="Arial"/>
          <w:b/>
          <w:color w:val="000000" w:themeColor="text1"/>
          <w:sz w:val="20"/>
          <w:szCs w:val="20"/>
        </w:rPr>
        <w:t xml:space="preserve">éthique et </w:t>
      </w:r>
      <w:r w:rsidRPr="00B64A1B">
        <w:rPr>
          <w:rFonts w:ascii="Arial" w:hAnsi="Arial" w:cs="Arial"/>
          <w:b/>
          <w:color w:val="000000" w:themeColor="text1"/>
          <w:sz w:val="20"/>
          <w:szCs w:val="20"/>
        </w:rPr>
        <w:t>responsable doit tenir compte de ses différentes parties prenantes</w:t>
      </w:r>
      <w:r w:rsidR="00301872" w:rsidRPr="001E1610">
        <w:rPr>
          <w:rFonts w:ascii="Arial" w:hAnsi="Arial" w:cs="Arial"/>
          <w:b/>
          <w:color w:val="000000" w:themeColor="text1"/>
          <w:sz w:val="20"/>
          <w:szCs w:val="20"/>
        </w:rPr>
        <w:t xml:space="preserve">. </w:t>
      </w:r>
      <w:r w:rsidR="00301872">
        <w:rPr>
          <w:rFonts w:ascii="Arial" w:hAnsi="Arial" w:cs="Arial"/>
          <w:b/>
          <w:color w:val="000000" w:themeColor="text1"/>
          <w:sz w:val="20"/>
          <w:szCs w:val="20"/>
        </w:rPr>
        <w:t>(4 points)</w:t>
      </w:r>
    </w:p>
    <w:p w:rsidR="00301872" w:rsidRPr="00B64A1B" w:rsidRDefault="00301872" w:rsidP="00301872">
      <w:pPr>
        <w:rPr>
          <w:rFonts w:ascii="Arial" w:eastAsia="Times New Roman" w:hAnsi="Arial" w:cs="Arial"/>
          <w:b/>
          <w:color w:val="000000" w:themeColor="text1"/>
          <w:sz w:val="20"/>
          <w:szCs w:val="20"/>
          <w:lang w:eastAsia="fr-FR"/>
        </w:rPr>
      </w:pPr>
    </w:p>
    <w:p w:rsidR="00301872" w:rsidRPr="001E1610" w:rsidRDefault="00301872" w:rsidP="00301872">
      <w:pPr>
        <w:pStyle w:val="Paragraphedeliste"/>
        <w:numPr>
          <w:ilvl w:val="0"/>
          <w:numId w:val="1"/>
        </w:numPr>
        <w:ind w:left="360"/>
        <w:jc w:val="both"/>
        <w:rPr>
          <w:rFonts w:ascii="Arial" w:hAnsi="Arial" w:cs="Arial"/>
          <w:b/>
          <w:color w:val="000000" w:themeColor="text1"/>
          <w:sz w:val="20"/>
          <w:szCs w:val="20"/>
        </w:rPr>
      </w:pPr>
      <w:r w:rsidRPr="001E1610">
        <w:rPr>
          <w:rFonts w:ascii="Arial" w:hAnsi="Arial" w:cs="Arial"/>
          <w:b/>
          <w:color w:val="000000" w:themeColor="text1"/>
          <w:sz w:val="20"/>
          <w:szCs w:val="20"/>
        </w:rPr>
        <w:t>Comparez la part des entreprises de 50 à 2</w:t>
      </w:r>
      <w:r>
        <w:rPr>
          <w:rFonts w:ascii="Arial" w:hAnsi="Arial" w:cs="Arial"/>
          <w:b/>
          <w:color w:val="000000" w:themeColor="text1"/>
          <w:sz w:val="20"/>
          <w:szCs w:val="20"/>
        </w:rPr>
        <w:t>49</w:t>
      </w:r>
      <w:r w:rsidRPr="001E1610">
        <w:rPr>
          <w:rFonts w:ascii="Arial" w:hAnsi="Arial" w:cs="Arial"/>
          <w:b/>
          <w:color w:val="000000" w:themeColor="text1"/>
          <w:sz w:val="20"/>
          <w:szCs w:val="20"/>
        </w:rPr>
        <w:t xml:space="preserve"> salariés engagées dans des actions de RSE et celle des entreprises de 500 salariés ou plus. </w:t>
      </w:r>
      <w:r>
        <w:rPr>
          <w:rFonts w:ascii="Arial" w:hAnsi="Arial" w:cs="Arial"/>
          <w:b/>
          <w:color w:val="000000" w:themeColor="text1"/>
          <w:sz w:val="20"/>
          <w:szCs w:val="20"/>
        </w:rPr>
        <w:t>(2 points)</w:t>
      </w:r>
    </w:p>
    <w:p w:rsidR="00301872" w:rsidRDefault="00301872" w:rsidP="00301872">
      <w:pPr>
        <w:rPr>
          <w:rFonts w:ascii="Arial" w:hAnsi="Arial" w:cs="Arial"/>
          <w:b/>
          <w:color w:val="000000" w:themeColor="text1"/>
          <w:sz w:val="20"/>
          <w:szCs w:val="20"/>
          <w:u w:val="single"/>
        </w:rPr>
      </w:pPr>
    </w:p>
    <w:p w:rsidR="00301872" w:rsidRPr="00AE0F07" w:rsidRDefault="00301872" w:rsidP="00301872">
      <w:pPr>
        <w:pStyle w:val="Paragraphedeliste"/>
        <w:numPr>
          <w:ilvl w:val="0"/>
          <w:numId w:val="1"/>
        </w:numPr>
        <w:ind w:left="360"/>
        <w:jc w:val="both"/>
        <w:rPr>
          <w:rFonts w:ascii="Arial" w:hAnsi="Arial" w:cs="Arial"/>
          <w:b/>
          <w:color w:val="000000" w:themeColor="text1"/>
          <w:sz w:val="20"/>
          <w:szCs w:val="20"/>
          <w:u w:val="single"/>
        </w:rPr>
      </w:pPr>
      <w:r w:rsidRPr="00AE0F07">
        <w:rPr>
          <w:rFonts w:ascii="Arial" w:hAnsi="Arial" w:cs="Arial"/>
          <w:b/>
          <w:color w:val="000000" w:themeColor="text1"/>
          <w:sz w:val="20"/>
          <w:szCs w:val="20"/>
        </w:rPr>
        <w:t>A l’aide du document, montrez que l’engagement des entreprises dans la RSE dépend de leur taille et de leur secteur d’activité. (4 points)</w:t>
      </w:r>
    </w:p>
    <w:p w:rsidR="00A3402C" w:rsidRDefault="00A3402C"/>
    <w:p w:rsidR="00B64A1B" w:rsidRDefault="00B64A1B">
      <w:bookmarkStart w:id="0" w:name="_GoBack"/>
      <w:bookmarkEnd w:id="0"/>
    </w:p>
    <w:sectPr w:rsidR="00B64A1B">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1"/>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BE3"/>
    <w:multiLevelType w:val="hybridMultilevel"/>
    <w:tmpl w:val="6C86F2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FC093C"/>
    <w:multiLevelType w:val="hybridMultilevel"/>
    <w:tmpl w:val="4F829ED8"/>
    <w:lvl w:ilvl="0" w:tplc="65781B28">
      <w:numFmt w:val="bullet"/>
      <w:lvlText w:val="-"/>
      <w:lvlJc w:val="left"/>
      <w:pPr>
        <w:ind w:left="720" w:hanging="360"/>
      </w:pPr>
      <w:rPr>
        <w:rFonts w:ascii="Arial" w:eastAsia="Calibri" w:hAnsi="Arial" w:cs="Arial" w:hint="default"/>
        <w:i/>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540D7B"/>
    <w:multiLevelType w:val="hybridMultilevel"/>
    <w:tmpl w:val="CF64B2A8"/>
    <w:lvl w:ilvl="0" w:tplc="80C0D32C">
      <w:start w:val="2"/>
      <w:numFmt w:val="bullet"/>
      <w:lvlText w:val="-"/>
      <w:lvlJc w:val="left"/>
      <w:pPr>
        <w:ind w:left="720" w:hanging="360"/>
      </w:pPr>
      <w:rPr>
        <w:rFonts w:ascii="Arial" w:eastAsia="Calibri" w:hAnsi="Arial" w:cs="Arial" w:hint="default"/>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2C"/>
    <w:rsid w:val="002068B3"/>
    <w:rsid w:val="00301872"/>
    <w:rsid w:val="005163EF"/>
    <w:rsid w:val="006042C9"/>
    <w:rsid w:val="00A3402C"/>
    <w:rsid w:val="00A5705D"/>
    <w:rsid w:val="00AB4961"/>
    <w:rsid w:val="00B64A1B"/>
    <w:rsid w:val="00CB6E9D"/>
    <w:rsid w:val="00DA4A81"/>
    <w:rsid w:val="00E41AE5"/>
    <w:rsid w:val="00F93906"/>
    <w:rsid w:val="00FE629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3559"/>
  <w15:docId w15:val="{8F7C04AD-981D-4CE0-866F-0EA4CC8F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0A2"/>
    <w:pPr>
      <w:jc w:val="both"/>
    </w:pPr>
    <w:rPr>
      <w:rFonts w:ascii="Calibri" w:eastAsia="Calibri" w:hAnsi="Calibri"/>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Tahoma" w:hAnsi="Liberation Sans" w:cs="Droid Sans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table" w:styleId="Grilledutableau">
    <w:name w:val="Table Grid"/>
    <w:basedOn w:val="TableauNormal"/>
    <w:rsid w:val="00EF30A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01872"/>
  </w:style>
  <w:style w:type="paragraph" w:styleId="Paragraphedeliste">
    <w:name w:val="List Paragraph"/>
    <w:basedOn w:val="Normal"/>
    <w:uiPriority w:val="34"/>
    <w:qFormat/>
    <w:rsid w:val="00301872"/>
    <w:pPr>
      <w:ind w:left="720"/>
      <w:contextualSpacing/>
      <w:jc w:val="left"/>
    </w:pPr>
    <w:rPr>
      <w:rFonts w:ascii="Times New Roman" w:eastAsia="Times New Roman" w:hAnsi="Times New Roman" w:cs="Times New Roman"/>
      <w:color w:val="auto"/>
      <w:sz w:val="24"/>
      <w:szCs w:val="24"/>
      <w:lang w:eastAsia="fr-FR"/>
    </w:rPr>
  </w:style>
  <w:style w:type="paragraph" w:customStyle="1" w:styleId="Sansinterligne1">
    <w:name w:val="Sans interligne1"/>
    <w:aliases w:val="Medium Grid 2,T Paragraphe 1;2;3"/>
    <w:link w:val="SansinterligneCar"/>
    <w:uiPriority w:val="1"/>
    <w:qFormat/>
    <w:rsid w:val="00301872"/>
    <w:rPr>
      <w:rFonts w:ascii="Calibri" w:eastAsia="Calibri" w:hAnsi="Calibri" w:cs="Times New Roman"/>
    </w:rPr>
  </w:style>
  <w:style w:type="character" w:customStyle="1" w:styleId="SansinterligneCar">
    <w:name w:val="Sans interligne Car"/>
    <w:aliases w:val="T Paragraphe 1;2;3 Car,Grille moyenne 2 Car"/>
    <w:link w:val="Sansinterligne1"/>
    <w:uiPriority w:val="1"/>
    <w:rsid w:val="00301872"/>
    <w:rPr>
      <w:rFonts w:ascii="Calibri" w:eastAsia="Calibri" w:hAnsi="Calibri" w:cs="Times New Roman"/>
    </w:rPr>
  </w:style>
  <w:style w:type="character" w:styleId="Accentuation">
    <w:name w:val="Emphasis"/>
    <w:basedOn w:val="Policepardfaut"/>
    <w:uiPriority w:val="20"/>
    <w:qFormat/>
    <w:rsid w:val="00301872"/>
    <w:rPr>
      <w:i/>
      <w:iCs/>
    </w:rPr>
  </w:style>
  <w:style w:type="character" w:styleId="lev">
    <w:name w:val="Strong"/>
    <w:basedOn w:val="Policepardfaut"/>
    <w:uiPriority w:val="22"/>
    <w:qFormat/>
    <w:rsid w:val="00301872"/>
    <w:rPr>
      <w:b/>
      <w:bCs/>
    </w:rPr>
  </w:style>
  <w:style w:type="paragraph" w:styleId="Corpsdetexte3">
    <w:name w:val="Body Text 3"/>
    <w:basedOn w:val="Normal"/>
    <w:link w:val="Corpsdetexte3Car"/>
    <w:uiPriority w:val="99"/>
    <w:semiHidden/>
    <w:unhideWhenUsed/>
    <w:rsid w:val="005163EF"/>
    <w:pPr>
      <w:spacing w:after="120"/>
    </w:pPr>
    <w:rPr>
      <w:sz w:val="16"/>
      <w:szCs w:val="16"/>
    </w:rPr>
  </w:style>
  <w:style w:type="character" w:customStyle="1" w:styleId="Corpsdetexte3Car">
    <w:name w:val="Corps de texte 3 Car"/>
    <w:basedOn w:val="Policepardfaut"/>
    <w:link w:val="Corpsdetexte3"/>
    <w:uiPriority w:val="99"/>
    <w:semiHidden/>
    <w:rsid w:val="005163EF"/>
    <w:rPr>
      <w:rFonts w:ascii="Calibri" w:eastAsia="Calibri" w:hAnsi="Calibri"/>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BENOIT LEMONNIER</dc:creator>
  <dc:description/>
  <cp:lastModifiedBy>superu</cp:lastModifiedBy>
  <cp:revision>2</cp:revision>
  <dcterms:created xsi:type="dcterms:W3CDTF">2019-10-08T13:03:00Z</dcterms:created>
  <dcterms:modified xsi:type="dcterms:W3CDTF">2019-10-08T13:03:00Z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