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0" w:rsidRDefault="009876A0" w:rsidP="0056563D">
      <w:pPr>
        <w:jc w:val="center"/>
        <w:rPr>
          <w:b/>
          <w:sz w:val="32"/>
          <w:szCs w:val="32"/>
        </w:rPr>
      </w:pPr>
      <w:r w:rsidRPr="0056563D">
        <w:rPr>
          <w:b/>
          <w:sz w:val="32"/>
          <w:szCs w:val="32"/>
        </w:rPr>
        <w:t>Epreuve composée –</w:t>
      </w:r>
      <w:r w:rsidR="004720D5">
        <w:rPr>
          <w:b/>
          <w:sz w:val="32"/>
          <w:szCs w:val="32"/>
        </w:rPr>
        <w:t xml:space="preserve"> </w:t>
      </w:r>
      <w:bookmarkStart w:id="0" w:name="_GoBack"/>
      <w:bookmarkEnd w:id="0"/>
      <w:r w:rsidRPr="0056563D">
        <w:rPr>
          <w:b/>
          <w:sz w:val="32"/>
          <w:szCs w:val="32"/>
        </w:rPr>
        <w:t>1ES</w:t>
      </w:r>
    </w:p>
    <w:p w:rsidR="00B54053" w:rsidRPr="0056563D" w:rsidRDefault="00B54053" w:rsidP="0056563D">
      <w:pPr>
        <w:jc w:val="center"/>
        <w:rPr>
          <w:b/>
          <w:sz w:val="32"/>
          <w:szCs w:val="32"/>
        </w:rPr>
      </w:pPr>
    </w:p>
    <w:p w:rsidR="00B54053" w:rsidRPr="00FD6D26" w:rsidRDefault="009876A0">
      <w:pPr>
        <w:rPr>
          <w:b/>
          <w:u w:val="single"/>
        </w:rPr>
      </w:pPr>
      <w:r w:rsidRPr="00FD6D26">
        <w:rPr>
          <w:b/>
          <w:u w:val="single"/>
        </w:rPr>
        <w:t>Partie 1 : mobilisation des connaissances (6 pts)</w:t>
      </w:r>
      <w:r w:rsidR="00B54053" w:rsidRPr="00FD6D26">
        <w:rPr>
          <w:b/>
          <w:u w:val="single"/>
        </w:rPr>
        <w:t>*</w:t>
      </w:r>
    </w:p>
    <w:p w:rsidR="009876A0" w:rsidRDefault="00B54053" w:rsidP="00F0266E">
      <w:pPr>
        <w:jc w:val="both"/>
      </w:pPr>
      <w:r>
        <w:t xml:space="preserve"> </w:t>
      </w:r>
      <w:r w:rsidR="009876A0">
        <w:t xml:space="preserve">Question 1 : </w:t>
      </w:r>
      <w:r w:rsidR="009876A0" w:rsidRPr="00FD6D26">
        <w:rPr>
          <w:b/>
        </w:rPr>
        <w:t>en quoi consiste le processus de socialisation ?</w:t>
      </w:r>
    </w:p>
    <w:p w:rsidR="00B54053" w:rsidRDefault="009876A0" w:rsidP="00F0266E">
      <w:pPr>
        <w:jc w:val="both"/>
      </w:pPr>
      <w:r>
        <w:t xml:space="preserve">Question 2 : </w:t>
      </w:r>
      <w:r w:rsidRPr="00FD6D26">
        <w:rPr>
          <w:b/>
        </w:rPr>
        <w:t>distinguez les différentes instances de socialisation et montrez leur impact sur l’individu</w:t>
      </w:r>
    </w:p>
    <w:p w:rsidR="009876A0" w:rsidRPr="00FD6D26" w:rsidRDefault="009876A0" w:rsidP="00F0266E">
      <w:pPr>
        <w:jc w:val="both"/>
        <w:rPr>
          <w:b/>
          <w:u w:val="single"/>
        </w:rPr>
      </w:pPr>
      <w:r w:rsidRPr="00FD6D26">
        <w:rPr>
          <w:b/>
          <w:u w:val="single"/>
        </w:rPr>
        <w:t>Partie 2 : analyse de document (4 pts)</w:t>
      </w:r>
      <w:r w:rsidR="00B54053" w:rsidRPr="00FD6D26">
        <w:rPr>
          <w:b/>
          <w:u w:val="single"/>
        </w:rPr>
        <w:t>*</w:t>
      </w:r>
    </w:p>
    <w:p w:rsidR="00B54053" w:rsidRPr="0063489C" w:rsidRDefault="0056563D" w:rsidP="0063489C">
      <w:pPr>
        <w:jc w:val="both"/>
        <w:rPr>
          <w:b/>
        </w:rPr>
      </w:pPr>
      <w:r w:rsidRPr="00FD6D26">
        <w:rPr>
          <w:b/>
        </w:rPr>
        <w:t xml:space="preserve">Vous présenterez le document puis vous </w:t>
      </w:r>
      <w:r w:rsidR="00B54053" w:rsidRPr="00FD6D26">
        <w:rPr>
          <w:b/>
        </w:rPr>
        <w:t>explique</w:t>
      </w:r>
      <w:r w:rsidRPr="00FD6D26">
        <w:rPr>
          <w:b/>
        </w:rPr>
        <w:t>rez</w:t>
      </w:r>
      <w:r w:rsidR="00B54053" w:rsidRPr="00FD6D26">
        <w:rPr>
          <w:b/>
        </w:rPr>
        <w:t xml:space="preserve"> de manière détaillée</w:t>
      </w:r>
      <w:r w:rsidRPr="00FD6D26">
        <w:rPr>
          <w:b/>
        </w:rPr>
        <w:t xml:space="preserve"> les différences de pratiques </w:t>
      </w:r>
      <w:r w:rsidR="00B54053" w:rsidRPr="00FD6D26">
        <w:rPr>
          <w:b/>
        </w:rPr>
        <w:t>culturel</w:t>
      </w:r>
      <w:r w:rsidRPr="00FD6D26">
        <w:rPr>
          <w:b/>
        </w:rPr>
        <w:t xml:space="preserve">les </w:t>
      </w:r>
      <w:r w:rsidR="00B54053" w:rsidRPr="00FD6D26">
        <w:rPr>
          <w:b/>
        </w:rPr>
        <w:t>de l’enfant.</w:t>
      </w:r>
      <w:r w:rsidRPr="00FD6D26">
        <w:rPr>
          <w:b/>
        </w:rPr>
        <w:t xml:space="preserve"> </w:t>
      </w:r>
    </w:p>
    <w:p w:rsidR="00B54053" w:rsidRDefault="00B54053" w:rsidP="0059316C">
      <w:pPr>
        <w:pStyle w:val="Titre5"/>
        <w:numPr>
          <w:ilvl w:val="0"/>
          <w:numId w:val="0"/>
        </w:numPr>
        <w:spacing w:after="120"/>
      </w:pPr>
      <w:r>
        <w:t>Doc : Les pratiques culturelles pendant l’enfance selon le niveau scolaire des parents (en %)</w:t>
      </w:r>
    </w:p>
    <w:tbl>
      <w:tblPr>
        <w:tblW w:w="9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539"/>
        <w:gridCol w:w="1539"/>
        <w:gridCol w:w="1539"/>
        <w:gridCol w:w="1539"/>
      </w:tblGrid>
      <w:tr w:rsidR="00B54053" w:rsidRPr="00C64DBB" w:rsidTr="00B54053">
        <w:trPr>
          <w:trHeight w:val="243"/>
        </w:trPr>
        <w:tc>
          <w:tcPr>
            <w:tcW w:w="3438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  <w:rPr>
                <w:b/>
              </w:rPr>
            </w:pPr>
            <w:r w:rsidRPr="00C64DBB">
              <w:rPr>
                <w:b/>
                <w:color w:val="000000"/>
              </w:rPr>
              <w:t>Lecture de livres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  <w:rPr>
                <w:b/>
              </w:rPr>
            </w:pPr>
            <w:r w:rsidRPr="00C64DBB">
              <w:rPr>
                <w:b/>
                <w:color w:val="000000"/>
              </w:rPr>
              <w:t>Cin</w:t>
            </w:r>
            <w:r w:rsidRPr="00C64DBB">
              <w:rPr>
                <w:rFonts w:cs="Times New Roman"/>
                <w:b/>
                <w:color w:val="000000"/>
              </w:rPr>
              <w:t>é</w:t>
            </w:r>
            <w:r w:rsidRPr="00C64DBB">
              <w:rPr>
                <w:b/>
                <w:color w:val="000000"/>
              </w:rPr>
              <w:t>ma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  <w:rPr>
                <w:b/>
                <w:sz w:val="16"/>
                <w:szCs w:val="16"/>
              </w:rPr>
            </w:pPr>
            <w:r w:rsidRPr="00C64DBB">
              <w:rPr>
                <w:b/>
                <w:color w:val="000000"/>
                <w:sz w:val="16"/>
                <w:szCs w:val="16"/>
              </w:rPr>
              <w:t>Mus</w:t>
            </w:r>
            <w:r w:rsidRPr="00C64DBB">
              <w:rPr>
                <w:rFonts w:cs="Times New Roman"/>
                <w:b/>
                <w:color w:val="000000"/>
                <w:sz w:val="16"/>
                <w:szCs w:val="16"/>
              </w:rPr>
              <w:t>é</w:t>
            </w:r>
            <w:r w:rsidRPr="00C64DBB">
              <w:rPr>
                <w:b/>
                <w:color w:val="000000"/>
                <w:sz w:val="16"/>
                <w:szCs w:val="16"/>
              </w:rPr>
              <w:t>e, exposition, monument historique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  <w:rPr>
                <w:b/>
              </w:rPr>
            </w:pPr>
            <w:r w:rsidRPr="00C64DBB">
              <w:rPr>
                <w:b/>
                <w:color w:val="000000"/>
              </w:rPr>
              <w:t>Th</w:t>
            </w:r>
            <w:r w:rsidRPr="00C64DBB">
              <w:rPr>
                <w:rFonts w:cs="Times New Roman"/>
                <w:b/>
                <w:color w:val="000000"/>
              </w:rPr>
              <w:t>éâ</w:t>
            </w:r>
            <w:r w:rsidRPr="00C64DBB">
              <w:rPr>
                <w:b/>
                <w:color w:val="000000"/>
              </w:rPr>
              <w:t>tre, concert</w:t>
            </w:r>
          </w:p>
        </w:tc>
      </w:tr>
      <w:tr w:rsidR="00B54053" w:rsidRPr="00C64DBB" w:rsidTr="00B54053">
        <w:trPr>
          <w:trHeight w:val="292"/>
        </w:trPr>
        <w:tc>
          <w:tcPr>
            <w:tcW w:w="3438" w:type="dxa"/>
            <w:shd w:val="clear" w:color="auto" w:fill="auto"/>
            <w:vAlign w:val="center"/>
          </w:tcPr>
          <w:p w:rsidR="00B54053" w:rsidRPr="00E67C6E" w:rsidRDefault="00B54053" w:rsidP="001E25FC">
            <w:pPr>
              <w:rPr>
                <w:b/>
                <w:color w:val="000000"/>
              </w:rPr>
            </w:pPr>
            <w:r w:rsidRPr="00E67C6E">
              <w:rPr>
                <w:b/>
                <w:color w:val="000000"/>
              </w:rPr>
              <w:t>Aucun diplôme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47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23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5</w:t>
            </w:r>
          </w:p>
        </w:tc>
      </w:tr>
      <w:tr w:rsidR="00B54053" w:rsidRPr="00C64DBB" w:rsidTr="00B54053">
        <w:trPr>
          <w:trHeight w:val="292"/>
        </w:trPr>
        <w:tc>
          <w:tcPr>
            <w:tcW w:w="3438" w:type="dxa"/>
            <w:shd w:val="clear" w:color="auto" w:fill="auto"/>
            <w:vAlign w:val="center"/>
          </w:tcPr>
          <w:p w:rsidR="00B54053" w:rsidRPr="00E67C6E" w:rsidRDefault="00B54053" w:rsidP="001E25FC">
            <w:pPr>
              <w:rPr>
                <w:b/>
                <w:color w:val="000000"/>
              </w:rPr>
            </w:pPr>
            <w:r w:rsidRPr="00E67C6E">
              <w:rPr>
                <w:b/>
                <w:color w:val="000000"/>
              </w:rPr>
              <w:t>Primaire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66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31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13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9</w:t>
            </w:r>
          </w:p>
        </w:tc>
      </w:tr>
      <w:tr w:rsidR="00B54053" w:rsidRPr="00C64DBB" w:rsidTr="00B54053">
        <w:trPr>
          <w:trHeight w:val="292"/>
        </w:trPr>
        <w:tc>
          <w:tcPr>
            <w:tcW w:w="3438" w:type="dxa"/>
            <w:shd w:val="clear" w:color="auto" w:fill="auto"/>
            <w:vAlign w:val="center"/>
          </w:tcPr>
          <w:p w:rsidR="00B54053" w:rsidRPr="00E67C6E" w:rsidRDefault="00B54053" w:rsidP="001E25FC">
            <w:pPr>
              <w:rPr>
                <w:b/>
                <w:color w:val="000000"/>
              </w:rPr>
            </w:pPr>
            <w:r w:rsidRPr="00E67C6E">
              <w:rPr>
                <w:b/>
                <w:color w:val="000000"/>
              </w:rPr>
              <w:t xml:space="preserve">Collège, </w:t>
            </w:r>
            <w:r w:rsidRPr="00C64DBB">
              <w:rPr>
                <w:b/>
                <w:color w:val="000000"/>
              </w:rPr>
              <w:t xml:space="preserve">filière </w:t>
            </w:r>
            <w:r w:rsidRPr="00E67C6E">
              <w:rPr>
                <w:b/>
                <w:color w:val="000000"/>
              </w:rPr>
              <w:t>technique court</w:t>
            </w:r>
            <w:r w:rsidRPr="00C64DBB">
              <w:rPr>
                <w:b/>
                <w:color w:val="000000"/>
              </w:rPr>
              <w:t xml:space="preserve">e </w:t>
            </w:r>
            <w:r w:rsidRPr="00C64DBB">
              <w:rPr>
                <w:color w:val="000000"/>
              </w:rPr>
              <w:t>(CAP, BEP)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70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43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26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10</w:t>
            </w:r>
          </w:p>
        </w:tc>
      </w:tr>
      <w:tr w:rsidR="00B54053" w:rsidRPr="00C64DBB" w:rsidTr="00B54053">
        <w:trPr>
          <w:trHeight w:val="292"/>
        </w:trPr>
        <w:tc>
          <w:tcPr>
            <w:tcW w:w="3438" w:type="dxa"/>
            <w:shd w:val="clear" w:color="auto" w:fill="auto"/>
            <w:vAlign w:val="center"/>
          </w:tcPr>
          <w:p w:rsidR="00B54053" w:rsidRPr="00E67C6E" w:rsidRDefault="00B54053" w:rsidP="001E25FC">
            <w:pPr>
              <w:rPr>
                <w:b/>
                <w:color w:val="000000"/>
              </w:rPr>
            </w:pPr>
            <w:r w:rsidRPr="00E67C6E">
              <w:rPr>
                <w:b/>
                <w:color w:val="000000"/>
              </w:rPr>
              <w:t>Lycée</w:t>
            </w:r>
            <w:r w:rsidRPr="00C64DBB">
              <w:rPr>
                <w:b/>
                <w:color w:val="000000"/>
              </w:rPr>
              <w:t>,</w:t>
            </w:r>
            <w:r w:rsidRPr="00E67C6E">
              <w:rPr>
                <w:b/>
                <w:color w:val="000000"/>
              </w:rPr>
              <w:t xml:space="preserve"> </w:t>
            </w:r>
            <w:r w:rsidRPr="00C64DBB">
              <w:rPr>
                <w:b/>
                <w:color w:val="000000"/>
              </w:rPr>
              <w:t xml:space="preserve">filière </w:t>
            </w:r>
            <w:r w:rsidRPr="00E67C6E">
              <w:rPr>
                <w:b/>
                <w:color w:val="000000"/>
              </w:rPr>
              <w:t>technique long</w:t>
            </w:r>
            <w:r w:rsidRPr="00C64DBB">
              <w:rPr>
                <w:b/>
                <w:color w:val="000000"/>
              </w:rPr>
              <w:t xml:space="preserve">ue </w:t>
            </w:r>
            <w:r w:rsidRPr="00C64DBB">
              <w:rPr>
                <w:color w:val="000000"/>
              </w:rPr>
              <w:t>(BTS, DUT)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78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50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37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19</w:t>
            </w:r>
          </w:p>
        </w:tc>
      </w:tr>
      <w:tr w:rsidR="00B54053" w:rsidRPr="00C64DBB" w:rsidTr="00B54053">
        <w:trPr>
          <w:trHeight w:val="292"/>
        </w:trPr>
        <w:tc>
          <w:tcPr>
            <w:tcW w:w="3438" w:type="dxa"/>
            <w:shd w:val="clear" w:color="auto" w:fill="auto"/>
            <w:vAlign w:val="center"/>
          </w:tcPr>
          <w:p w:rsidR="00B54053" w:rsidRPr="00E67C6E" w:rsidRDefault="00B54053" w:rsidP="001E25FC">
            <w:pPr>
              <w:rPr>
                <w:b/>
                <w:color w:val="000000"/>
              </w:rPr>
            </w:pPr>
            <w:r w:rsidRPr="00E67C6E">
              <w:rPr>
                <w:b/>
                <w:color w:val="000000"/>
              </w:rPr>
              <w:t>Supérieur</w:t>
            </w:r>
            <w:r w:rsidRPr="00C64DBB">
              <w:rPr>
                <w:b/>
                <w:color w:val="000000"/>
              </w:rPr>
              <w:t xml:space="preserve"> </w:t>
            </w:r>
            <w:r w:rsidRPr="00C64DBB">
              <w:rPr>
                <w:color w:val="000000"/>
              </w:rPr>
              <w:t>(Bac + 3 minimum)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62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61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E67C6E" w:rsidRDefault="00B54053" w:rsidP="001E25FC">
            <w:pPr>
              <w:jc w:val="center"/>
              <w:rPr>
                <w:color w:val="000000"/>
              </w:rPr>
            </w:pPr>
            <w:r w:rsidRPr="00E67C6E">
              <w:rPr>
                <w:color w:val="000000"/>
              </w:rPr>
              <w:t>26</w:t>
            </w:r>
          </w:p>
        </w:tc>
      </w:tr>
      <w:tr w:rsidR="00B54053" w:rsidRPr="00C64DBB" w:rsidTr="00B54053">
        <w:trPr>
          <w:trHeight w:val="292"/>
        </w:trPr>
        <w:tc>
          <w:tcPr>
            <w:tcW w:w="3438" w:type="dxa"/>
            <w:shd w:val="clear" w:color="auto" w:fill="auto"/>
            <w:vAlign w:val="center"/>
          </w:tcPr>
          <w:p w:rsidR="00B54053" w:rsidRPr="00C64DBB" w:rsidRDefault="00B54053" w:rsidP="001E25FC">
            <w:pPr>
              <w:rPr>
                <w:b/>
              </w:rPr>
            </w:pPr>
            <w:r w:rsidRPr="00C64DBB">
              <w:rPr>
                <w:b/>
                <w:color w:val="000000"/>
              </w:rPr>
              <w:t>Ensemble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</w:pPr>
            <w:r w:rsidRPr="00C64DBB">
              <w:rPr>
                <w:color w:val="000000"/>
              </w:rPr>
              <w:t>64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</w:pPr>
            <w:r w:rsidRPr="00C64DBB">
              <w:rPr>
                <w:color w:val="000000"/>
              </w:rPr>
              <w:t>36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</w:pPr>
            <w:r w:rsidRPr="00C64DBB">
              <w:rPr>
                <w:color w:val="000000"/>
              </w:rPr>
              <w:t>21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54053" w:rsidRPr="00C64DBB" w:rsidRDefault="00B54053" w:rsidP="001E25FC">
            <w:pPr>
              <w:jc w:val="center"/>
            </w:pPr>
            <w:r w:rsidRPr="00C64DBB">
              <w:rPr>
                <w:color w:val="000000"/>
              </w:rPr>
              <w:t>11</w:t>
            </w:r>
          </w:p>
        </w:tc>
      </w:tr>
    </w:tbl>
    <w:p w:rsidR="00B54053" w:rsidRDefault="00B54053" w:rsidP="00B54053">
      <w:pPr>
        <w:spacing w:before="120"/>
        <w:jc w:val="right"/>
      </w:pPr>
      <w:r>
        <w:t>Source : enquête « Transmissions Familiales », 2000, Insee.</w:t>
      </w:r>
    </w:p>
    <w:p w:rsidR="00B54053" w:rsidRDefault="00B54053"/>
    <w:p w:rsidR="00A27BC2" w:rsidRDefault="00A27BC2" w:rsidP="00A27BC2">
      <w:pPr>
        <w:rPr>
          <w:rFonts w:ascii="Georgia" w:hAnsi="Georgia"/>
          <w:b/>
          <w:color w:val="222222"/>
          <w:u w:val="single"/>
        </w:rPr>
      </w:pPr>
      <w:r>
        <w:rPr>
          <w:rFonts w:ascii="Georgia" w:hAnsi="Georgia"/>
          <w:b/>
          <w:color w:val="222222"/>
          <w:u w:val="single"/>
        </w:rPr>
        <w:t>Partie 3 : Raisonnement à partir d’un dossier documentaire </w:t>
      </w:r>
    </w:p>
    <w:p w:rsidR="00A27BC2" w:rsidRDefault="00A27BC2" w:rsidP="00A27BC2">
      <w:pPr>
        <w:pStyle w:val="firstline"/>
        <w:shd w:val="clear" w:color="auto" w:fill="FFFFFF"/>
        <w:spacing w:before="0" w:beforeAutospacing="0" w:line="264" w:lineRule="atLeast"/>
        <w:rPr>
          <w:rFonts w:ascii="Georgia" w:hAnsi="Georgia"/>
          <w:b/>
          <w:color w:val="222222"/>
          <w:sz w:val="18"/>
          <w:szCs w:val="18"/>
        </w:rPr>
      </w:pPr>
      <w:r>
        <w:rPr>
          <w:rFonts w:ascii="Georgia" w:hAnsi="Georgia"/>
          <w:b/>
          <w:color w:val="222222"/>
          <w:sz w:val="18"/>
          <w:szCs w:val="18"/>
        </w:rPr>
        <w:t>A l’aide du dossier documentaire ci-dessous, vous montrerez que le marché concurrentiel présente des limites et que cette situation nécessite une intervention de l’Etat.</w:t>
      </w:r>
    </w:p>
    <w:p w:rsidR="00A27BC2" w:rsidRPr="00A27BC2" w:rsidRDefault="00A27BC2" w:rsidP="00A27BC2">
      <w:pPr>
        <w:pStyle w:val="firstline"/>
        <w:shd w:val="clear" w:color="auto" w:fill="FFFFFF"/>
        <w:spacing w:before="0" w:beforeAutospacing="0" w:line="264" w:lineRule="atLeast"/>
        <w:jc w:val="both"/>
        <w:rPr>
          <w:rFonts w:ascii="Georgia" w:hAnsi="Georgia"/>
          <w:b/>
          <w:color w:val="222222"/>
          <w:sz w:val="18"/>
          <w:szCs w:val="18"/>
        </w:rPr>
      </w:pPr>
      <w:r>
        <w:rPr>
          <w:rFonts w:ascii="Georgia" w:hAnsi="Georgia"/>
          <w:b/>
          <w:color w:val="222222"/>
          <w:sz w:val="18"/>
          <w:szCs w:val="18"/>
        </w:rPr>
        <w:t xml:space="preserve">Document n°1. </w:t>
      </w:r>
      <w:r>
        <w:rPr>
          <w:rFonts w:ascii="Georgia" w:hAnsi="Georgia"/>
          <w:color w:val="222222"/>
          <w:sz w:val="18"/>
          <w:szCs w:val="18"/>
        </w:rPr>
        <w:t>Le fournisseur d'accès à Internet Free (dont le PDG, Xavier Niel, est actionnaire du groupe Le Monde) a été condamné par le tribunal correctionnel de Paris à 100 000 euros d'amendes et 40 000 euros de dommages et intérêt pour</w:t>
      </w:r>
      <w:r>
        <w:rPr>
          <w:rStyle w:val="apple-converted-space"/>
          <w:rFonts w:ascii="Georgia" w:hAnsi="Georgia"/>
          <w:color w:val="222222"/>
          <w:sz w:val="18"/>
          <w:szCs w:val="18"/>
        </w:rPr>
        <w:t> </w:t>
      </w:r>
      <w:r>
        <w:rPr>
          <w:rStyle w:val="Accentuation"/>
          <w:rFonts w:ascii="Georgia" w:hAnsi="Georgia"/>
          <w:color w:val="222222"/>
          <w:sz w:val="18"/>
          <w:szCs w:val="18"/>
        </w:rPr>
        <w:t>"pratiques commerciales trompeuses"</w:t>
      </w:r>
      <w:r>
        <w:rPr>
          <w:rStyle w:val="apple-converted-space"/>
          <w:rFonts w:ascii="Georgia" w:hAnsi="Georgia"/>
          <w:color w:val="222222"/>
          <w:sz w:val="18"/>
          <w:szCs w:val="18"/>
        </w:rPr>
        <w:t> </w:t>
      </w:r>
      <w:r>
        <w:rPr>
          <w:rFonts w:ascii="Georgia" w:hAnsi="Georgia"/>
          <w:color w:val="222222"/>
          <w:sz w:val="18"/>
          <w:szCs w:val="18"/>
        </w:rPr>
        <w:t xml:space="preserve">après une enquête menée en 2007, a annoncé mercredi la Direction générale de la concurrence, de la consommation et de la répression des fraudes (DGCCRF). L'opérateur Internet du groupe </w:t>
      </w:r>
      <w:proofErr w:type="spellStart"/>
      <w:r>
        <w:rPr>
          <w:rFonts w:ascii="Georgia" w:hAnsi="Georgia"/>
          <w:color w:val="222222"/>
          <w:sz w:val="18"/>
          <w:szCs w:val="18"/>
        </w:rPr>
        <w:t>Iliad</w:t>
      </w:r>
      <w:proofErr w:type="spellEnd"/>
      <w:r>
        <w:rPr>
          <w:rStyle w:val="apple-converted-space"/>
          <w:rFonts w:ascii="Georgia" w:hAnsi="Georgia"/>
          <w:color w:val="222222"/>
          <w:sz w:val="18"/>
          <w:szCs w:val="18"/>
        </w:rPr>
        <w:t> </w:t>
      </w:r>
      <w:r>
        <w:rPr>
          <w:rStyle w:val="Accentuation"/>
          <w:rFonts w:ascii="Georgia" w:hAnsi="Georgia"/>
          <w:color w:val="222222"/>
          <w:sz w:val="18"/>
          <w:szCs w:val="18"/>
        </w:rPr>
        <w:t>"proposait en effet un forfait 'Internet haut débit illimité'</w:t>
      </w:r>
      <w:r>
        <w:rPr>
          <w:rStyle w:val="apple-converted-space"/>
          <w:rFonts w:ascii="Georgia" w:hAnsi="Georgia"/>
          <w:i/>
          <w:iCs/>
          <w:color w:val="222222"/>
          <w:sz w:val="18"/>
          <w:szCs w:val="18"/>
        </w:rPr>
        <w:t> </w:t>
      </w:r>
      <w:r>
        <w:rPr>
          <w:rStyle w:val="Accentuation"/>
          <w:rFonts w:ascii="Georgia" w:hAnsi="Georgia"/>
          <w:color w:val="222222"/>
          <w:sz w:val="18"/>
          <w:szCs w:val="18"/>
        </w:rPr>
        <w:t>attractif, alors qu'il avait parallèlement mis en place un dispositif de limitation du débit, au détriment de ses clients non dégroupés"</w:t>
      </w:r>
      <w:r>
        <w:rPr>
          <w:rFonts w:ascii="Georgia" w:hAnsi="Georgia"/>
          <w:color w:val="222222"/>
          <w:sz w:val="18"/>
          <w:szCs w:val="18"/>
        </w:rPr>
        <w:t>, précise l'organe public de répression des fraudes. Objectif, pour le fournisseur d'accès :</w:t>
      </w:r>
      <w:r>
        <w:rPr>
          <w:rStyle w:val="apple-converted-space"/>
          <w:rFonts w:ascii="Georgia" w:hAnsi="Georgia"/>
          <w:color w:val="222222"/>
          <w:sz w:val="18"/>
          <w:szCs w:val="18"/>
        </w:rPr>
        <w:t> </w:t>
      </w:r>
      <w:r>
        <w:rPr>
          <w:rStyle w:val="Accentuation"/>
          <w:rFonts w:ascii="Georgia" w:hAnsi="Georgia"/>
          <w:color w:val="222222"/>
          <w:sz w:val="18"/>
          <w:szCs w:val="18"/>
        </w:rPr>
        <w:t xml:space="preserve">"contenir le </w:t>
      </w:r>
      <w:r>
        <w:rPr>
          <w:rStyle w:val="Accentuation"/>
          <w:rFonts w:ascii="Georgia" w:hAnsi="Georgia"/>
          <w:color w:val="222222"/>
          <w:sz w:val="18"/>
          <w:szCs w:val="18"/>
        </w:rPr>
        <w:lastRenderedPageBreak/>
        <w:t>trafic, réduisant ainsi la bande passante achetée à l'opérateur historique"</w:t>
      </w:r>
      <w:r>
        <w:rPr>
          <w:rStyle w:val="apple-converted-space"/>
          <w:rFonts w:ascii="Georgia" w:hAnsi="Georgia"/>
          <w:color w:val="222222"/>
          <w:sz w:val="18"/>
          <w:szCs w:val="18"/>
        </w:rPr>
        <w:t> </w:t>
      </w:r>
      <w:r>
        <w:rPr>
          <w:rFonts w:ascii="Georgia" w:hAnsi="Georgia"/>
          <w:color w:val="222222"/>
          <w:sz w:val="18"/>
          <w:szCs w:val="18"/>
        </w:rPr>
        <w:t>France Télécom, explique la DGCCRF. En 2006, environ 70 % des abonnés Free étaient dégroupés, pour un total de quelque 1,8 million d'abonnés. Les 30 % restants avaient conservé leur ligne téléphonique France Télécom ; pour réduire ses frais d'achat de bande passante auprès de l'opérateur historique, Free avait mis en place mi-2006 des limitations aux utilisations que pouvaient faire ses clients de leur ligne ADSL.</w:t>
      </w:r>
    </w:p>
    <w:p w:rsidR="00A27BC2" w:rsidRDefault="00A27BC2" w:rsidP="00A27BC2">
      <w:pPr>
        <w:jc w:val="both"/>
        <w:rPr>
          <w:rFonts w:ascii="Georgia" w:hAnsi="Georgia"/>
          <w:bCs/>
          <w:sz w:val="16"/>
          <w:szCs w:val="16"/>
        </w:rPr>
      </w:pPr>
      <w:r>
        <w:rPr>
          <w:rFonts w:ascii="Georgia" w:hAnsi="Georgia"/>
          <w:color w:val="222222"/>
          <w:sz w:val="16"/>
          <w:szCs w:val="16"/>
        </w:rPr>
        <w:t>Source : Lemonde.fr, « </w:t>
      </w:r>
      <w:r>
        <w:rPr>
          <w:rFonts w:ascii="Georgia" w:hAnsi="Georgia"/>
          <w:sz w:val="16"/>
          <w:szCs w:val="16"/>
        </w:rPr>
        <w:t>Free condamné à 100 000 euros d'amende pour "pratiques commerciales trompeuses"</w:t>
      </w:r>
      <w:r>
        <w:rPr>
          <w:rFonts w:ascii="Georgia" w:hAnsi="Georgia"/>
          <w:bCs/>
          <w:sz w:val="16"/>
          <w:szCs w:val="16"/>
        </w:rPr>
        <w:t> », 8 février 2012.</w:t>
      </w:r>
    </w:p>
    <w:p w:rsidR="00A27BC2" w:rsidRDefault="00A27BC2" w:rsidP="00A27BC2">
      <w:pPr>
        <w:jc w:val="both"/>
        <w:rPr>
          <w:rFonts w:ascii="Georgia" w:hAnsi="Georgia"/>
          <w:bCs/>
          <w:sz w:val="16"/>
          <w:szCs w:val="16"/>
        </w:rPr>
      </w:pPr>
    </w:p>
    <w:p w:rsidR="00A27BC2" w:rsidRDefault="00A27BC2" w:rsidP="00A27BC2">
      <w:pPr>
        <w:rPr>
          <w:rFonts w:ascii="Georgia" w:hAnsi="Georgia"/>
          <w:b/>
          <w:bCs/>
          <w:color w:val="222222"/>
          <w:sz w:val="16"/>
          <w:szCs w:val="16"/>
        </w:rPr>
      </w:pPr>
      <w:r>
        <w:rPr>
          <w:rFonts w:ascii="Georgia" w:hAnsi="Georgia"/>
          <w:b/>
          <w:bCs/>
          <w:sz w:val="16"/>
          <w:szCs w:val="16"/>
        </w:rPr>
        <w:t>Document n°2. Le classement mondial des constructeurs d’automobiles en 2009</w:t>
      </w:r>
    </w:p>
    <w:p w:rsidR="00A27BC2" w:rsidRDefault="00A27BC2" w:rsidP="00A27BC2">
      <w:pPr>
        <w:pStyle w:val="firstline"/>
        <w:shd w:val="clear" w:color="auto" w:fill="FFFFFF"/>
        <w:spacing w:before="0" w:beforeAutospacing="0" w:line="264" w:lineRule="atLeast"/>
        <w:jc w:val="both"/>
        <w:rPr>
          <w:rFonts w:ascii="Georgia" w:hAnsi="Georgia"/>
          <w:color w:val="22222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7F3CD4" wp14:editId="544D7A70">
            <wp:simplePos x="0" y="0"/>
            <wp:positionH relativeFrom="column">
              <wp:posOffset>940435</wp:posOffset>
            </wp:positionH>
            <wp:positionV relativeFrom="paragraph">
              <wp:posOffset>144780</wp:posOffset>
            </wp:positionV>
            <wp:extent cx="2922270" cy="2598420"/>
            <wp:effectExtent l="0" t="0" r="0" b="0"/>
            <wp:wrapNone/>
            <wp:docPr id="2" name="Image 2" descr="numérisation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umérisation0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" t="13245" r="4155" b="11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5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C2" w:rsidRDefault="00A27BC2" w:rsidP="00A27BC2">
      <w:pPr>
        <w:pStyle w:val="firstline"/>
        <w:shd w:val="clear" w:color="auto" w:fill="FFFFFF"/>
        <w:spacing w:before="0" w:beforeAutospacing="0" w:line="264" w:lineRule="atLeast"/>
        <w:jc w:val="both"/>
        <w:rPr>
          <w:rFonts w:ascii="Georgia" w:hAnsi="Georgia"/>
          <w:color w:val="222222"/>
          <w:sz w:val="18"/>
          <w:szCs w:val="18"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Source : D’après le Comité des constructeurs français d’automobiles, Analyse et faits, édition 2010.</w:t>
      </w: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rFonts w:ascii="Georgia" w:hAnsi="Georgia"/>
          <w:b/>
          <w:bCs/>
          <w:sz w:val="16"/>
          <w:szCs w:val="16"/>
        </w:rPr>
      </w:pPr>
      <w:r>
        <w:rPr>
          <w:rFonts w:ascii="Georgia" w:hAnsi="Georgia"/>
          <w:b/>
          <w:bCs/>
          <w:sz w:val="16"/>
          <w:szCs w:val="16"/>
        </w:rPr>
        <w:t>Document n°3. Le déclin du thon rouge dans l’Atlantique Est</w:t>
      </w:r>
    </w:p>
    <w:p w:rsidR="00A27BC2" w:rsidRDefault="00A27BC2" w:rsidP="00A27BC2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B5F0A55" wp14:editId="481C2B15">
            <wp:simplePos x="0" y="0"/>
            <wp:positionH relativeFrom="column">
              <wp:posOffset>422275</wp:posOffset>
            </wp:positionH>
            <wp:positionV relativeFrom="paragraph">
              <wp:posOffset>107315</wp:posOffset>
            </wp:positionV>
            <wp:extent cx="2137410" cy="2903220"/>
            <wp:effectExtent l="0" t="0" r="0" b="0"/>
            <wp:wrapNone/>
            <wp:docPr id="1" name="Image 1" descr="numérisation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numérisation0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3" t="13812" r="16678"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Source : d’après le Ministère de l’Agriculture</w:t>
      </w:r>
    </w:p>
    <w:p w:rsidR="00A27BC2" w:rsidRDefault="00A27BC2" w:rsidP="00A27BC2">
      <w:pPr>
        <w:jc w:val="right"/>
        <w:rPr>
          <w:b/>
        </w:rPr>
      </w:pPr>
    </w:p>
    <w:p w:rsidR="00A27BC2" w:rsidRDefault="00A27BC2" w:rsidP="00A27BC2">
      <w:pPr>
        <w:rPr>
          <w:b/>
        </w:rPr>
      </w:pPr>
    </w:p>
    <w:p w:rsidR="00A27BC2" w:rsidRDefault="00A27BC2" w:rsidP="00A27BC2">
      <w:pPr>
        <w:rPr>
          <w:b/>
        </w:rPr>
      </w:pPr>
    </w:p>
    <w:sectPr w:rsidR="00A2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5CA"/>
    <w:multiLevelType w:val="hybridMultilevel"/>
    <w:tmpl w:val="74C0824E"/>
    <w:lvl w:ilvl="0" w:tplc="5186FC1A">
      <w:start w:val="1"/>
      <w:numFmt w:val="bullet"/>
      <w:pStyle w:val="Titre5"/>
      <w:lvlText w:val=""/>
      <w:lvlJc w:val="left"/>
      <w:pPr>
        <w:tabs>
          <w:tab w:val="num" w:pos="357"/>
        </w:tabs>
        <w:ind w:left="0" w:firstLine="0"/>
      </w:pPr>
      <w:rPr>
        <w:rFonts w:ascii="Wingdings 2" w:hAnsi="Wingdings 2" w:cs="Arial" w:hint="default"/>
        <w:b w:val="0"/>
        <w:i w:val="0"/>
        <w:sz w:val="18"/>
        <w:szCs w:val="18"/>
      </w:rPr>
    </w:lvl>
    <w:lvl w:ilvl="1" w:tplc="6128C1DC">
      <w:start w:val="1"/>
      <w:numFmt w:val="bullet"/>
      <w:lvlText w:val=""/>
      <w:lvlJc w:val="left"/>
      <w:pPr>
        <w:tabs>
          <w:tab w:val="num" w:pos="1437"/>
        </w:tabs>
        <w:ind w:left="1080" w:firstLine="0"/>
      </w:pPr>
      <w:rPr>
        <w:rFonts w:ascii="Wingdings 2" w:hAnsi="Wingdings 2" w:cs="Arial" w:hint="default"/>
        <w:b w:val="0"/>
        <w:i w:val="0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0"/>
    <w:rsid w:val="00191160"/>
    <w:rsid w:val="00286CFA"/>
    <w:rsid w:val="004720D5"/>
    <w:rsid w:val="0056563D"/>
    <w:rsid w:val="0059316C"/>
    <w:rsid w:val="0063489C"/>
    <w:rsid w:val="00932CBF"/>
    <w:rsid w:val="009876A0"/>
    <w:rsid w:val="00A27BC2"/>
    <w:rsid w:val="00B54053"/>
    <w:rsid w:val="00F0266E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B5405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Maiandra GD" w:eastAsia="Times New Roman" w:hAnsi="Maiandra GD" w:cs="Arial"/>
      <w:b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B54053"/>
    <w:rPr>
      <w:rFonts w:ascii="Maiandra GD" w:eastAsia="Times New Roman" w:hAnsi="Maiandra GD" w:cs="Arial"/>
      <w:b/>
      <w:sz w:val="20"/>
      <w:szCs w:val="20"/>
      <w:u w:val="single"/>
      <w:lang w:eastAsia="fr-FR"/>
    </w:rPr>
  </w:style>
  <w:style w:type="paragraph" w:customStyle="1" w:styleId="firstline">
    <w:name w:val="firstline"/>
    <w:basedOn w:val="Normal"/>
    <w:rsid w:val="00A2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27BC2"/>
  </w:style>
  <w:style w:type="character" w:styleId="Accentuation">
    <w:name w:val="Emphasis"/>
    <w:basedOn w:val="Policepardfaut"/>
    <w:uiPriority w:val="20"/>
    <w:qFormat/>
    <w:rsid w:val="00A27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B54053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  <w:outlineLvl w:val="4"/>
    </w:pPr>
    <w:rPr>
      <w:rFonts w:ascii="Maiandra GD" w:eastAsia="Times New Roman" w:hAnsi="Maiandra GD" w:cs="Arial"/>
      <w:b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B54053"/>
    <w:rPr>
      <w:rFonts w:ascii="Maiandra GD" w:eastAsia="Times New Roman" w:hAnsi="Maiandra GD" w:cs="Arial"/>
      <w:b/>
      <w:sz w:val="20"/>
      <w:szCs w:val="20"/>
      <w:u w:val="single"/>
      <w:lang w:eastAsia="fr-FR"/>
    </w:rPr>
  </w:style>
  <w:style w:type="paragraph" w:customStyle="1" w:styleId="firstline">
    <w:name w:val="firstline"/>
    <w:basedOn w:val="Normal"/>
    <w:rsid w:val="00A2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27BC2"/>
  </w:style>
  <w:style w:type="character" w:styleId="Accentuation">
    <w:name w:val="Emphasis"/>
    <w:basedOn w:val="Policepardfaut"/>
    <w:uiPriority w:val="20"/>
    <w:qFormat/>
    <w:rsid w:val="00A27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XP</cp:lastModifiedBy>
  <cp:revision>2</cp:revision>
  <dcterms:created xsi:type="dcterms:W3CDTF">2014-01-21T05:31:00Z</dcterms:created>
  <dcterms:modified xsi:type="dcterms:W3CDTF">2014-01-21T05:31:00Z</dcterms:modified>
</cp:coreProperties>
</file>