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E3" w:rsidRDefault="00DA6AE3">
      <w:pPr>
        <w:widowControl w:val="0"/>
        <w:autoSpaceDE w:val="0"/>
        <w:autoSpaceDN w:val="0"/>
        <w:adjustRightInd w:val="0"/>
        <w:jc w:val="both"/>
        <w:rPr>
          <w:b/>
          <w:bCs/>
          <w:kern w:val="28"/>
          <w:lang w:val="en-US"/>
        </w:rPr>
      </w:pPr>
      <w:bookmarkStart w:id="0" w:name="_GoBack"/>
      <w:bookmarkEnd w:id="0"/>
      <w:r>
        <w:rPr>
          <w:b/>
          <w:bCs/>
          <w:kern w:val="28"/>
          <w:lang w:val="en-US"/>
        </w:rPr>
        <w:t>Etape 2: analyse</w:t>
      </w:r>
    </w:p>
    <w:p w:rsidR="00DA6AE3" w:rsidRDefault="00DA6AE3">
      <w:pPr>
        <w:widowControl w:val="0"/>
        <w:autoSpaceDE w:val="0"/>
        <w:autoSpaceDN w:val="0"/>
        <w:adjustRightInd w:val="0"/>
        <w:jc w:val="both"/>
        <w:rPr>
          <w:b/>
          <w:bCs/>
          <w:kern w:val="28"/>
          <w:lang w:val="en-US"/>
        </w:rPr>
      </w:pPr>
    </w:p>
    <w:p w:rsidR="00DA6AE3" w:rsidRDefault="00DA6AE3" w:rsidP="001F24A9">
      <w:pPr>
        <w:widowControl w:val="0"/>
        <w:numPr>
          <w:ilvl w:val="0"/>
          <w:numId w:val="1"/>
        </w:numPr>
        <w:autoSpaceDE w:val="0"/>
        <w:autoSpaceDN w:val="0"/>
        <w:adjustRightInd w:val="0"/>
        <w:ind w:left="360" w:hanging="360"/>
        <w:jc w:val="both"/>
        <w:rPr>
          <w:b/>
          <w:bCs/>
          <w:kern w:val="28"/>
          <w:lang w:val="en-US"/>
        </w:rPr>
      </w:pPr>
      <w:r>
        <w:rPr>
          <w:kern w:val="28"/>
          <w:lang w:val="en-US"/>
        </w:rPr>
        <w:t>Consommation et épargne</w:t>
      </w:r>
    </w:p>
    <w:tbl>
      <w:tblPr>
        <w:tblW w:w="10402" w:type="dxa"/>
        <w:tblLayout w:type="fixed"/>
        <w:tblCellMar>
          <w:left w:w="180" w:type="dxa"/>
          <w:right w:w="180" w:type="dxa"/>
        </w:tblCellMar>
        <w:tblLook w:val="0000" w:firstRow="0" w:lastRow="0" w:firstColumn="0" w:lastColumn="0" w:noHBand="0" w:noVBand="0"/>
      </w:tblPr>
      <w:tblGrid>
        <w:gridCol w:w="2626"/>
        <w:gridCol w:w="971"/>
        <w:gridCol w:w="973"/>
        <w:gridCol w:w="972"/>
        <w:gridCol w:w="972"/>
        <w:gridCol w:w="972"/>
        <w:gridCol w:w="972"/>
        <w:gridCol w:w="972"/>
        <w:gridCol w:w="972"/>
      </w:tblGrid>
      <w:tr w:rsidR="00DA6AE3" w:rsidTr="000532E3">
        <w:tblPrEx>
          <w:tblCellMar>
            <w:top w:w="0" w:type="dxa"/>
            <w:bottom w:w="0" w:type="dxa"/>
          </w:tblCellMar>
        </w:tblPrEx>
        <w:trPr>
          <w:trHeight w:val="272"/>
        </w:trPr>
        <w:tc>
          <w:tcPr>
            <w:tcW w:w="2626" w:type="dxa"/>
            <w:tcBorders>
              <w:top w:val="single" w:sz="8" w:space="0" w:color="auto"/>
              <w:left w:val="single" w:sz="8" w:space="0" w:color="auto"/>
              <w:bottom w:val="nil"/>
              <w:right w:val="nil"/>
            </w:tcBorders>
          </w:tcPr>
          <w:p w:rsidR="00DA6AE3" w:rsidRDefault="00DA6AE3">
            <w:pPr>
              <w:widowControl w:val="0"/>
              <w:autoSpaceDE w:val="0"/>
              <w:autoSpaceDN w:val="0"/>
              <w:adjustRightInd w:val="0"/>
              <w:rPr>
                <w:kern w:val="28"/>
                <w:sz w:val="20"/>
                <w:szCs w:val="20"/>
              </w:rPr>
            </w:pPr>
            <w:r>
              <w:rPr>
                <w:rFonts w:ascii="Arial" w:hAnsi="Arial" w:cs="Arial"/>
                <w:kern w:val="28"/>
                <w:sz w:val="20"/>
                <w:szCs w:val="20"/>
              </w:rPr>
              <w:t> En milliards d’</w:t>
            </w:r>
            <w:r>
              <w:rPr>
                <w:rFonts w:ascii="Symbol" w:hAnsi="Symbol" w:cs="Symbol"/>
                <w:kern w:val="28"/>
                <w:sz w:val="20"/>
                <w:szCs w:val="20"/>
              </w:rPr>
              <w:t></w:t>
            </w:r>
          </w:p>
        </w:tc>
        <w:tc>
          <w:tcPr>
            <w:tcW w:w="971"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1990</w:t>
            </w:r>
          </w:p>
        </w:tc>
        <w:tc>
          <w:tcPr>
            <w:tcW w:w="973"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1995</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2000</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2005</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2006</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2007</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2008</w:t>
            </w:r>
          </w:p>
        </w:tc>
        <w:tc>
          <w:tcPr>
            <w:tcW w:w="972" w:type="dxa"/>
            <w:tcBorders>
              <w:top w:val="single" w:sz="8" w:space="0" w:color="auto"/>
              <w:left w:val="single" w:sz="8" w:space="0" w:color="auto"/>
              <w:bottom w:val="nil"/>
              <w:right w:val="single" w:sz="8" w:space="0" w:color="auto"/>
            </w:tcBorders>
          </w:tcPr>
          <w:p w:rsidR="00DA6AE3" w:rsidRDefault="00DA6AE3">
            <w:pPr>
              <w:widowControl w:val="0"/>
              <w:autoSpaceDE w:val="0"/>
              <w:autoSpaceDN w:val="0"/>
              <w:adjustRightInd w:val="0"/>
              <w:jc w:val="right"/>
              <w:rPr>
                <w:kern w:val="28"/>
                <w:sz w:val="20"/>
                <w:szCs w:val="20"/>
              </w:rPr>
            </w:pPr>
            <w:r>
              <w:rPr>
                <w:rFonts w:ascii="Arial" w:hAnsi="Arial" w:cs="Arial"/>
                <w:b/>
                <w:bCs/>
                <w:kern w:val="28"/>
                <w:sz w:val="20"/>
                <w:szCs w:val="20"/>
              </w:rPr>
              <w:t>2009</w:t>
            </w:r>
          </w:p>
        </w:tc>
      </w:tr>
      <w:tr w:rsidR="00DA6AE3" w:rsidTr="000532E3">
        <w:tblPrEx>
          <w:tblCellMar>
            <w:top w:w="0" w:type="dxa"/>
            <w:bottom w:w="0" w:type="dxa"/>
          </w:tblCellMar>
        </w:tblPrEx>
        <w:trPr>
          <w:trHeight w:val="272"/>
        </w:trPr>
        <w:tc>
          <w:tcPr>
            <w:tcW w:w="2626" w:type="dxa"/>
            <w:tcBorders>
              <w:top w:val="single" w:sz="8" w:space="0" w:color="auto"/>
              <w:left w:val="single" w:sz="8" w:space="0" w:color="auto"/>
              <w:bottom w:val="nil"/>
              <w:right w:val="nil"/>
            </w:tcBorders>
          </w:tcPr>
          <w:p w:rsidR="00DA6AE3" w:rsidRDefault="00DA6AE3">
            <w:pPr>
              <w:widowControl w:val="0"/>
              <w:autoSpaceDE w:val="0"/>
              <w:autoSpaceDN w:val="0"/>
              <w:adjustRightInd w:val="0"/>
              <w:rPr>
                <w:kern w:val="28"/>
                <w:sz w:val="20"/>
                <w:szCs w:val="20"/>
              </w:rPr>
            </w:pPr>
            <w:r>
              <w:rPr>
                <w:rFonts w:ascii="Arial" w:hAnsi="Arial" w:cs="Arial"/>
                <w:kern w:val="28"/>
                <w:sz w:val="20"/>
                <w:szCs w:val="20"/>
              </w:rPr>
              <w:t>Revenu disponible brut</w:t>
            </w:r>
          </w:p>
        </w:tc>
        <w:tc>
          <w:tcPr>
            <w:tcW w:w="971"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665,0</w:t>
            </w:r>
          </w:p>
        </w:tc>
        <w:tc>
          <w:tcPr>
            <w:tcW w:w="973"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786,7</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923,0</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1126,2</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1179,5</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1240,5</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1280,6</w:t>
            </w:r>
          </w:p>
        </w:tc>
        <w:tc>
          <w:tcPr>
            <w:tcW w:w="972" w:type="dxa"/>
            <w:tcBorders>
              <w:top w:val="single" w:sz="8" w:space="0" w:color="auto"/>
              <w:left w:val="single" w:sz="8" w:space="0" w:color="auto"/>
              <w:bottom w:val="nil"/>
              <w:right w:val="single" w:sz="8" w:space="0" w:color="auto"/>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1293,8</w:t>
            </w:r>
          </w:p>
        </w:tc>
      </w:tr>
      <w:tr w:rsidR="00DA6AE3" w:rsidTr="000532E3">
        <w:tblPrEx>
          <w:tblCellMar>
            <w:top w:w="0" w:type="dxa"/>
            <w:bottom w:w="0" w:type="dxa"/>
          </w:tblCellMar>
        </w:tblPrEx>
        <w:trPr>
          <w:trHeight w:val="272"/>
        </w:trPr>
        <w:tc>
          <w:tcPr>
            <w:tcW w:w="2626" w:type="dxa"/>
            <w:tcBorders>
              <w:top w:val="single" w:sz="8" w:space="0" w:color="auto"/>
              <w:left w:val="single" w:sz="8" w:space="0" w:color="auto"/>
              <w:bottom w:val="nil"/>
              <w:right w:val="nil"/>
            </w:tcBorders>
          </w:tcPr>
          <w:p w:rsidR="00DA6AE3" w:rsidRDefault="00DA6AE3">
            <w:pPr>
              <w:widowControl w:val="0"/>
              <w:autoSpaceDE w:val="0"/>
              <w:autoSpaceDN w:val="0"/>
              <w:adjustRightInd w:val="0"/>
              <w:rPr>
                <w:kern w:val="28"/>
                <w:sz w:val="20"/>
                <w:szCs w:val="20"/>
              </w:rPr>
            </w:pPr>
            <w:r>
              <w:rPr>
                <w:rFonts w:ascii="Arial" w:hAnsi="Arial" w:cs="Arial"/>
                <w:kern w:val="28"/>
                <w:sz w:val="20"/>
                <w:szCs w:val="20"/>
              </w:rPr>
              <w:t xml:space="preserve">consommation finale </w:t>
            </w:r>
          </w:p>
        </w:tc>
        <w:tc>
          <w:tcPr>
            <w:tcW w:w="971"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579,2</w:t>
            </w:r>
          </w:p>
        </w:tc>
        <w:tc>
          <w:tcPr>
            <w:tcW w:w="973"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661,5</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783,9</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958,7</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1001,9</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1048,2</w:t>
            </w:r>
          </w:p>
        </w:tc>
        <w:tc>
          <w:tcPr>
            <w:tcW w:w="972" w:type="dxa"/>
            <w:tcBorders>
              <w:top w:val="single" w:sz="8" w:space="0" w:color="auto"/>
              <w:left w:val="single" w:sz="8" w:space="0" w:color="auto"/>
              <w:bottom w:val="nil"/>
              <w:right w:val="nil"/>
            </w:tcBorders>
          </w:tcPr>
          <w:p w:rsidR="00DA6AE3" w:rsidRDefault="00DA6AE3">
            <w:pPr>
              <w:widowControl w:val="0"/>
              <w:autoSpaceDE w:val="0"/>
              <w:autoSpaceDN w:val="0"/>
              <w:adjustRightInd w:val="0"/>
              <w:rPr>
                <w:kern w:val="28"/>
                <w:sz w:val="20"/>
                <w:szCs w:val="20"/>
              </w:rPr>
            </w:pPr>
          </w:p>
        </w:tc>
        <w:tc>
          <w:tcPr>
            <w:tcW w:w="972" w:type="dxa"/>
            <w:tcBorders>
              <w:top w:val="single" w:sz="8" w:space="0" w:color="auto"/>
              <w:left w:val="single" w:sz="8" w:space="0" w:color="auto"/>
              <w:bottom w:val="nil"/>
              <w:right w:val="single" w:sz="8" w:space="0" w:color="auto"/>
            </w:tcBorders>
          </w:tcPr>
          <w:p w:rsidR="00DA6AE3" w:rsidRDefault="00DA6AE3">
            <w:pPr>
              <w:widowControl w:val="0"/>
              <w:autoSpaceDE w:val="0"/>
              <w:autoSpaceDN w:val="0"/>
              <w:adjustRightInd w:val="0"/>
              <w:rPr>
                <w:kern w:val="28"/>
                <w:sz w:val="20"/>
                <w:szCs w:val="20"/>
              </w:rPr>
            </w:pPr>
          </w:p>
        </w:tc>
      </w:tr>
      <w:tr w:rsidR="00DA6AE3" w:rsidTr="000532E3">
        <w:tblPrEx>
          <w:tblCellMar>
            <w:top w:w="0" w:type="dxa"/>
            <w:bottom w:w="0" w:type="dxa"/>
          </w:tblCellMar>
        </w:tblPrEx>
        <w:trPr>
          <w:trHeight w:val="262"/>
        </w:trPr>
        <w:tc>
          <w:tcPr>
            <w:tcW w:w="2626"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rPr>
                <w:kern w:val="28"/>
                <w:sz w:val="20"/>
                <w:szCs w:val="20"/>
              </w:rPr>
            </w:pPr>
            <w:r>
              <w:rPr>
                <w:rFonts w:ascii="Arial" w:hAnsi="Arial" w:cs="Arial"/>
                <w:kern w:val="28"/>
                <w:sz w:val="20"/>
                <w:szCs w:val="20"/>
              </w:rPr>
              <w:t>Epargne</w:t>
            </w:r>
          </w:p>
        </w:tc>
        <w:tc>
          <w:tcPr>
            <w:tcW w:w="971"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85,7</w:t>
            </w:r>
          </w:p>
        </w:tc>
        <w:tc>
          <w:tcPr>
            <w:tcW w:w="973"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rPr>
                <w:kern w:val="28"/>
                <w:sz w:val="20"/>
                <w:szCs w:val="20"/>
              </w:rPr>
            </w:pPr>
          </w:p>
        </w:tc>
        <w:tc>
          <w:tcPr>
            <w:tcW w:w="972"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rPr>
                <w:kern w:val="28"/>
                <w:sz w:val="20"/>
                <w:szCs w:val="20"/>
              </w:rPr>
            </w:pPr>
          </w:p>
        </w:tc>
        <w:tc>
          <w:tcPr>
            <w:tcW w:w="972"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167,6</w:t>
            </w:r>
          </w:p>
        </w:tc>
        <w:tc>
          <w:tcPr>
            <w:tcW w:w="972"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177,6</w:t>
            </w:r>
          </w:p>
        </w:tc>
        <w:tc>
          <w:tcPr>
            <w:tcW w:w="972"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192,3</w:t>
            </w:r>
          </w:p>
        </w:tc>
        <w:tc>
          <w:tcPr>
            <w:tcW w:w="972" w:type="dxa"/>
            <w:tcBorders>
              <w:top w:val="single" w:sz="8" w:space="0" w:color="auto"/>
              <w:left w:val="single" w:sz="8" w:space="0" w:color="auto"/>
              <w:bottom w:val="single" w:sz="8" w:space="0" w:color="auto"/>
              <w:right w:val="nil"/>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196,8</w:t>
            </w:r>
          </w:p>
        </w:tc>
        <w:tc>
          <w:tcPr>
            <w:tcW w:w="972" w:type="dxa"/>
            <w:tcBorders>
              <w:top w:val="single" w:sz="8" w:space="0" w:color="auto"/>
              <w:left w:val="single" w:sz="8" w:space="0" w:color="auto"/>
              <w:bottom w:val="single" w:sz="8" w:space="0" w:color="auto"/>
              <w:right w:val="single" w:sz="8" w:space="0" w:color="auto"/>
            </w:tcBorders>
          </w:tcPr>
          <w:p w:rsidR="00DA6AE3" w:rsidRDefault="00DA6AE3">
            <w:pPr>
              <w:widowControl w:val="0"/>
              <w:autoSpaceDE w:val="0"/>
              <w:autoSpaceDN w:val="0"/>
              <w:adjustRightInd w:val="0"/>
              <w:jc w:val="right"/>
              <w:rPr>
                <w:kern w:val="28"/>
                <w:sz w:val="20"/>
                <w:szCs w:val="20"/>
              </w:rPr>
            </w:pPr>
            <w:r>
              <w:rPr>
                <w:rFonts w:ascii="Arial" w:hAnsi="Arial" w:cs="Arial"/>
                <w:kern w:val="28"/>
                <w:sz w:val="20"/>
                <w:szCs w:val="20"/>
              </w:rPr>
              <w:t>209,2</w:t>
            </w:r>
          </w:p>
        </w:tc>
      </w:tr>
    </w:tbl>
    <w:p w:rsidR="00DA6AE3" w:rsidRDefault="00DA6AE3">
      <w:pPr>
        <w:widowControl w:val="0"/>
        <w:autoSpaceDE w:val="0"/>
        <w:autoSpaceDN w:val="0"/>
        <w:adjustRightInd w:val="0"/>
        <w:rPr>
          <w:kern w:val="28"/>
          <w:sz w:val="16"/>
          <w:szCs w:val="16"/>
        </w:rPr>
      </w:pPr>
      <w:r>
        <w:rPr>
          <w:kern w:val="28"/>
          <w:sz w:val="16"/>
          <w:szCs w:val="16"/>
        </w:rPr>
        <w:t>INSEE</w:t>
      </w:r>
    </w:p>
    <w:p w:rsidR="00DA6AE3" w:rsidRDefault="00DA6AE3">
      <w:pPr>
        <w:widowControl w:val="0"/>
        <w:autoSpaceDE w:val="0"/>
        <w:autoSpaceDN w:val="0"/>
        <w:adjustRightInd w:val="0"/>
        <w:rPr>
          <w:kern w:val="28"/>
          <w:sz w:val="22"/>
          <w:szCs w:val="22"/>
        </w:rPr>
      </w:pPr>
    </w:p>
    <w:p w:rsidR="00DA6AE3" w:rsidRDefault="00DA6AE3">
      <w:pPr>
        <w:widowControl w:val="0"/>
        <w:autoSpaceDE w:val="0"/>
        <w:autoSpaceDN w:val="0"/>
        <w:adjustRightInd w:val="0"/>
        <w:rPr>
          <w:rFonts w:ascii="Arial" w:hAnsi="Arial" w:cs="Arial"/>
          <w:color w:val="000000"/>
          <w:kern w:val="28"/>
          <w:sz w:val="22"/>
          <w:szCs w:val="22"/>
        </w:rPr>
      </w:pPr>
      <w:r>
        <w:rPr>
          <w:rFonts w:ascii="Arial" w:hAnsi="Arial" w:cs="Arial"/>
          <w:color w:val="000000"/>
          <w:kern w:val="28"/>
          <w:sz w:val="22"/>
          <w:szCs w:val="22"/>
        </w:rPr>
        <w:t xml:space="preserve">1. </w:t>
      </w:r>
      <w:r w:rsidR="000532E3">
        <w:rPr>
          <w:rFonts w:ascii="Arial" w:hAnsi="Arial" w:cs="Arial"/>
          <w:color w:val="000000"/>
          <w:kern w:val="28"/>
          <w:sz w:val="22"/>
          <w:szCs w:val="22"/>
        </w:rPr>
        <w:t>Établissez</w:t>
      </w:r>
      <w:r>
        <w:rPr>
          <w:rFonts w:ascii="Arial" w:hAnsi="Arial" w:cs="Arial"/>
          <w:color w:val="000000"/>
          <w:kern w:val="28"/>
          <w:sz w:val="22"/>
          <w:szCs w:val="22"/>
        </w:rPr>
        <w:t xml:space="preserve"> sous forme d’égalité la relation entre ces trois notions.</w:t>
      </w:r>
    </w:p>
    <w:p w:rsidR="00DA6AE3" w:rsidRDefault="00DA6AE3">
      <w:pPr>
        <w:widowControl w:val="0"/>
        <w:autoSpaceDE w:val="0"/>
        <w:autoSpaceDN w:val="0"/>
        <w:adjustRightInd w:val="0"/>
        <w:rPr>
          <w:rFonts w:ascii="Arial" w:hAnsi="Arial" w:cs="Arial"/>
          <w:color w:val="000000"/>
          <w:kern w:val="28"/>
          <w:sz w:val="22"/>
          <w:szCs w:val="22"/>
        </w:rPr>
      </w:pPr>
      <w:r>
        <w:rPr>
          <w:rFonts w:ascii="Arial" w:hAnsi="Arial" w:cs="Arial"/>
          <w:color w:val="000000"/>
          <w:kern w:val="28"/>
          <w:sz w:val="22"/>
          <w:szCs w:val="22"/>
        </w:rPr>
        <w:t>2. Calculez les données manquantes du tableau</w:t>
      </w:r>
    </w:p>
    <w:p w:rsidR="00DA6AE3" w:rsidRDefault="00DA6AE3">
      <w:pPr>
        <w:widowControl w:val="0"/>
        <w:autoSpaceDE w:val="0"/>
        <w:autoSpaceDN w:val="0"/>
        <w:adjustRightInd w:val="0"/>
        <w:rPr>
          <w:rFonts w:ascii="Arial" w:hAnsi="Arial" w:cs="Arial"/>
          <w:color w:val="000000"/>
          <w:kern w:val="28"/>
          <w:sz w:val="22"/>
          <w:szCs w:val="22"/>
        </w:rPr>
      </w:pPr>
      <w:r>
        <w:rPr>
          <w:rFonts w:ascii="Arial" w:hAnsi="Arial" w:cs="Arial"/>
          <w:color w:val="000000"/>
          <w:kern w:val="28"/>
          <w:sz w:val="22"/>
          <w:szCs w:val="22"/>
        </w:rPr>
        <w:t>3. La consommation, de 1990 à 2009 a-t-elle augmenté ? Ou diminué ?</w:t>
      </w:r>
    </w:p>
    <w:p w:rsidR="00DA6AE3" w:rsidRDefault="00DA6AE3">
      <w:pPr>
        <w:widowControl w:val="0"/>
        <w:autoSpaceDE w:val="0"/>
        <w:autoSpaceDN w:val="0"/>
        <w:adjustRightInd w:val="0"/>
        <w:rPr>
          <w:rFonts w:ascii="Arial" w:hAnsi="Arial" w:cs="Arial"/>
          <w:color w:val="000000"/>
          <w:kern w:val="28"/>
          <w:sz w:val="22"/>
          <w:szCs w:val="22"/>
        </w:rPr>
      </w:pPr>
      <w:r>
        <w:rPr>
          <w:rFonts w:ascii="Arial" w:hAnsi="Arial" w:cs="Arial"/>
          <w:color w:val="000000"/>
          <w:kern w:val="28"/>
          <w:sz w:val="22"/>
          <w:szCs w:val="22"/>
        </w:rPr>
        <w:t>4. La part de la consommation, toujours de 1990 à 2009, dans le revenu a-t-elle augmenté ou diminué ? Vous préciserez d’abord quel calcul peut nous permettre de répondre de manière certaine à cette question</w:t>
      </w:r>
    </w:p>
    <w:p w:rsidR="00DA6AE3" w:rsidRDefault="00DA6AE3">
      <w:pPr>
        <w:widowControl w:val="0"/>
        <w:autoSpaceDE w:val="0"/>
        <w:autoSpaceDN w:val="0"/>
        <w:adjustRightInd w:val="0"/>
        <w:jc w:val="both"/>
        <w:rPr>
          <w:b/>
          <w:bCs/>
          <w:kern w:val="28"/>
          <w:lang w:val="en-US"/>
        </w:rPr>
      </w:pPr>
    </w:p>
    <w:p w:rsidR="00DA6AE3" w:rsidRDefault="00DA6AE3" w:rsidP="001F24A9">
      <w:pPr>
        <w:widowControl w:val="0"/>
        <w:numPr>
          <w:ilvl w:val="0"/>
          <w:numId w:val="1"/>
        </w:numPr>
        <w:autoSpaceDE w:val="0"/>
        <w:autoSpaceDN w:val="0"/>
        <w:adjustRightInd w:val="0"/>
        <w:ind w:left="360" w:hanging="360"/>
        <w:jc w:val="both"/>
        <w:rPr>
          <w:kern w:val="28"/>
          <w:lang w:val="en-US"/>
        </w:rPr>
      </w:pPr>
      <w:r>
        <w:rPr>
          <w:kern w:val="28"/>
          <w:lang w:val="en-US"/>
        </w:rPr>
        <w:t>Les déterminants économiques de la consommation. Notion de pouvoir d</w:t>
      </w:r>
      <w:r>
        <w:rPr>
          <w:kern w:val="28"/>
        </w:rPr>
        <w:t>’</w:t>
      </w:r>
      <w:r>
        <w:rPr>
          <w:kern w:val="28"/>
          <w:lang w:val="en-US"/>
        </w:rPr>
        <w:t>achat.</w:t>
      </w:r>
    </w:p>
    <w:p w:rsidR="00DA6AE3" w:rsidRDefault="00DA6AE3">
      <w:pPr>
        <w:widowControl w:val="0"/>
        <w:autoSpaceDE w:val="0"/>
        <w:autoSpaceDN w:val="0"/>
        <w:adjustRightInd w:val="0"/>
        <w:jc w:val="both"/>
        <w:rPr>
          <w:b/>
          <w:bCs/>
          <w:kern w:val="28"/>
          <w:lang w:val="en-US"/>
        </w:rPr>
      </w:pPr>
      <w:r>
        <w:rPr>
          <w:b/>
          <w:bCs/>
          <w:kern w:val="28"/>
          <w:lang w:val="en-US"/>
        </w:rPr>
        <w:t>Document 1:</w:t>
      </w:r>
    </w:p>
    <w:p w:rsidR="00DA6AE3" w:rsidRDefault="00A44531">
      <w:pPr>
        <w:widowControl w:val="0"/>
        <w:autoSpaceDE w:val="0"/>
        <w:autoSpaceDN w:val="0"/>
        <w:adjustRightInd w:val="0"/>
        <w:jc w:val="both"/>
        <w:rPr>
          <w:kern w:val="28"/>
          <w:lang w:val="en-US"/>
        </w:rPr>
      </w:pPr>
      <w:r>
        <w:rPr>
          <w:rFonts w:ascii="Arial" w:hAnsi="Arial" w:cs="Arial"/>
          <w:noProof/>
          <w:sz w:val="20"/>
          <w:szCs w:val="20"/>
        </w:rPr>
        <w:drawing>
          <wp:inline distT="0" distB="0" distL="0" distR="0">
            <wp:extent cx="1619250" cy="1428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DA6AE3" w:rsidRDefault="00DA6AE3">
      <w:pPr>
        <w:widowControl w:val="0"/>
        <w:autoSpaceDE w:val="0"/>
        <w:autoSpaceDN w:val="0"/>
        <w:adjustRightInd w:val="0"/>
        <w:jc w:val="both"/>
        <w:rPr>
          <w:kern w:val="28"/>
          <w:sz w:val="20"/>
          <w:szCs w:val="20"/>
          <w:lang w:val="en-US"/>
        </w:rPr>
      </w:pPr>
      <w:r>
        <w:rPr>
          <w:kern w:val="28"/>
          <w:sz w:val="20"/>
          <w:szCs w:val="20"/>
          <w:lang w:val="en-US"/>
        </w:rPr>
        <w:t>Source: Bordas, 2008</w:t>
      </w:r>
    </w:p>
    <w:p w:rsidR="00DA6AE3" w:rsidRDefault="00DA6AE3">
      <w:pPr>
        <w:widowControl w:val="0"/>
        <w:autoSpaceDE w:val="0"/>
        <w:autoSpaceDN w:val="0"/>
        <w:adjustRightInd w:val="0"/>
        <w:jc w:val="both"/>
        <w:rPr>
          <w:kern w:val="28"/>
          <w:sz w:val="20"/>
          <w:szCs w:val="20"/>
          <w:lang w:val="en-US"/>
        </w:rPr>
      </w:pPr>
    </w:p>
    <w:p w:rsidR="00DA6AE3" w:rsidRDefault="00DA6AE3">
      <w:pPr>
        <w:widowControl w:val="0"/>
        <w:autoSpaceDE w:val="0"/>
        <w:autoSpaceDN w:val="0"/>
        <w:adjustRightInd w:val="0"/>
        <w:spacing w:line="267" w:lineRule="atLeast"/>
        <w:jc w:val="both"/>
        <w:rPr>
          <w:kern w:val="28"/>
        </w:rPr>
      </w:pPr>
      <w:r>
        <w:rPr>
          <w:kern w:val="28"/>
        </w:rPr>
        <w:t xml:space="preserve">1. Avec ce billet, combien de kebabs à 5 € est-il possible de se </w:t>
      </w:r>
      <w:r w:rsidR="000532E3">
        <w:rPr>
          <w:kern w:val="28"/>
        </w:rPr>
        <w:t>procurer ?</w:t>
      </w:r>
    </w:p>
    <w:p w:rsidR="00DA6AE3" w:rsidRDefault="00DA6AE3">
      <w:pPr>
        <w:widowControl w:val="0"/>
        <w:autoSpaceDE w:val="0"/>
        <w:autoSpaceDN w:val="0"/>
        <w:adjustRightInd w:val="0"/>
        <w:spacing w:line="267" w:lineRule="atLeast"/>
        <w:jc w:val="both"/>
        <w:rPr>
          <w:kern w:val="28"/>
        </w:rPr>
      </w:pPr>
      <w:r>
        <w:rPr>
          <w:kern w:val="28"/>
        </w:rPr>
        <w:t xml:space="preserve">2. Le prix du kebab passe à 5,50 €, combien peut-on se procurer de sandwichs avec le même </w:t>
      </w:r>
      <w:r w:rsidR="000532E3">
        <w:rPr>
          <w:kern w:val="28"/>
        </w:rPr>
        <w:t>billet ?</w:t>
      </w:r>
    </w:p>
    <w:p w:rsidR="00DA6AE3" w:rsidRDefault="00DA6AE3">
      <w:pPr>
        <w:widowControl w:val="0"/>
        <w:autoSpaceDE w:val="0"/>
        <w:autoSpaceDN w:val="0"/>
        <w:adjustRightInd w:val="0"/>
        <w:spacing w:line="267" w:lineRule="atLeast"/>
        <w:jc w:val="both"/>
        <w:rPr>
          <w:kern w:val="28"/>
        </w:rPr>
      </w:pPr>
      <w:r>
        <w:rPr>
          <w:kern w:val="28"/>
        </w:rPr>
        <w:t xml:space="preserve">3. Quelles sont les conséquences d'une hausse des prix sur la valeur d'achat de la </w:t>
      </w:r>
      <w:r w:rsidR="000532E3">
        <w:rPr>
          <w:kern w:val="28"/>
        </w:rPr>
        <w:t>monnaie ?</w:t>
      </w:r>
    </w:p>
    <w:p w:rsidR="00DA6AE3" w:rsidRDefault="00DA6AE3">
      <w:pPr>
        <w:widowControl w:val="0"/>
        <w:autoSpaceDE w:val="0"/>
        <w:autoSpaceDN w:val="0"/>
        <w:adjustRightInd w:val="0"/>
        <w:spacing w:line="267" w:lineRule="atLeast"/>
        <w:jc w:val="both"/>
        <w:rPr>
          <w:kern w:val="28"/>
        </w:rPr>
      </w:pPr>
    </w:p>
    <w:p w:rsidR="00DA6AE3" w:rsidRDefault="00DA6AE3">
      <w:pPr>
        <w:widowControl w:val="0"/>
        <w:autoSpaceDE w:val="0"/>
        <w:autoSpaceDN w:val="0"/>
        <w:adjustRightInd w:val="0"/>
        <w:spacing w:line="272" w:lineRule="atLeast"/>
        <w:jc w:val="both"/>
        <w:rPr>
          <w:b/>
          <w:bCs/>
          <w:kern w:val="28"/>
        </w:rPr>
      </w:pPr>
      <w:r>
        <w:rPr>
          <w:b/>
          <w:bCs/>
          <w:kern w:val="28"/>
        </w:rPr>
        <w:t>Document 2:</w:t>
      </w:r>
    </w:p>
    <w:p w:rsidR="00DA6AE3" w:rsidRDefault="00DA6AE3">
      <w:pPr>
        <w:widowControl w:val="0"/>
        <w:autoSpaceDE w:val="0"/>
        <w:autoSpaceDN w:val="0"/>
        <w:adjustRightInd w:val="0"/>
        <w:spacing w:line="247" w:lineRule="atLeast"/>
        <w:jc w:val="both"/>
        <w:rPr>
          <w:kern w:val="28"/>
        </w:rPr>
      </w:pPr>
      <w:r>
        <w:rPr>
          <w:kern w:val="28"/>
        </w:rPr>
        <w:t>Le pouvoir d'achat du salaire est la quantité de biens et de services que l'on peut acheter avec une unité de salaire. Son évolution est liée à celles des prix et des salaires. C'est ainsi que, si les prix augmentent dans un environnement où les salaires sont constants, le pouvoir d'achat diminue, alors que si la hausse des salaires est supérieure à celle des prix, le pouvoir d'achat pourra augmenter.</w:t>
      </w:r>
    </w:p>
    <w:p w:rsidR="00DA6AE3" w:rsidRDefault="00DA6AE3">
      <w:pPr>
        <w:widowControl w:val="0"/>
        <w:autoSpaceDE w:val="0"/>
        <w:autoSpaceDN w:val="0"/>
        <w:adjustRightInd w:val="0"/>
        <w:spacing w:line="247" w:lineRule="atLeast"/>
        <w:jc w:val="both"/>
        <w:rPr>
          <w:kern w:val="28"/>
        </w:rPr>
      </w:pPr>
      <w:r>
        <w:rPr>
          <w:kern w:val="28"/>
        </w:rPr>
        <w:t>INSEE, 2007.</w:t>
      </w:r>
    </w:p>
    <w:p w:rsidR="00DA6AE3" w:rsidRDefault="00DA6AE3">
      <w:pPr>
        <w:widowControl w:val="0"/>
        <w:autoSpaceDE w:val="0"/>
        <w:autoSpaceDN w:val="0"/>
        <w:adjustRightInd w:val="0"/>
        <w:spacing w:line="182" w:lineRule="atLeast"/>
        <w:jc w:val="both"/>
        <w:rPr>
          <w:i/>
          <w:iCs/>
          <w:kern w:val="28"/>
        </w:rPr>
      </w:pPr>
    </w:p>
    <w:p w:rsidR="00DA6AE3" w:rsidRDefault="00DA6AE3">
      <w:pPr>
        <w:widowControl w:val="0"/>
        <w:autoSpaceDE w:val="0"/>
        <w:autoSpaceDN w:val="0"/>
        <w:adjustRightInd w:val="0"/>
        <w:spacing w:line="272" w:lineRule="atLeast"/>
        <w:jc w:val="both"/>
        <w:rPr>
          <w:kern w:val="28"/>
        </w:rPr>
      </w:pPr>
      <w:r>
        <w:rPr>
          <w:kern w:val="28"/>
        </w:rPr>
        <w:t>1. Définissez la notion de pouvoir d'achat.</w:t>
      </w:r>
    </w:p>
    <w:p w:rsidR="00DA6AE3" w:rsidRDefault="00DA6AE3">
      <w:pPr>
        <w:widowControl w:val="0"/>
        <w:autoSpaceDE w:val="0"/>
        <w:autoSpaceDN w:val="0"/>
        <w:adjustRightInd w:val="0"/>
        <w:spacing w:line="272" w:lineRule="atLeast"/>
        <w:jc w:val="both"/>
        <w:rPr>
          <w:kern w:val="28"/>
        </w:rPr>
      </w:pPr>
      <w:r>
        <w:rPr>
          <w:kern w:val="28"/>
        </w:rPr>
        <w:t xml:space="preserve">2. Quels sont les deux déterminants de l'évolution du pouvoir d'achat du revenu </w:t>
      </w:r>
      <w:r w:rsidR="000532E3">
        <w:rPr>
          <w:kern w:val="28"/>
        </w:rPr>
        <w:t>disponible ?</w:t>
      </w:r>
    </w:p>
    <w:sectPr w:rsidR="00DA6AE3">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7EDCEC"/>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7BB"/>
    <w:rsid w:val="000532E3"/>
    <w:rsid w:val="001F24A9"/>
    <w:rsid w:val="00205136"/>
    <w:rsid w:val="006107BB"/>
    <w:rsid w:val="00840D8D"/>
    <w:rsid w:val="00A44531"/>
    <w:rsid w:val="00DA6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Policepardfaut">
    <w:name w:val="Default Paragraph Font"/>
    <w:uiPriority w:val="99"/>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Policepardfaut">
    <w:name w:val="Default Paragraph Font"/>
    <w:uiPriority w:val="99"/>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1385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Etape 2: analyse</vt:lpstr>
    </vt:vector>
  </TitlesOfParts>
  <Company>Hewlett-Packard Company</Company>
  <LinksUpToDate>false</LinksUpToDate>
  <CharactersWithSpaces>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Etape 2: analyse</dc:title>
  <dc:creator>Difor1</dc:creator>
  <cp:lastModifiedBy>Franck</cp:lastModifiedBy>
  <cp:revision>2</cp:revision>
  <dcterms:created xsi:type="dcterms:W3CDTF">2015-05-02T13:43:00Z</dcterms:created>
  <dcterms:modified xsi:type="dcterms:W3CDTF">2015-05-02T13:43:00Z</dcterms:modified>
</cp:coreProperties>
</file>