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F" w:rsidRDefault="00142F3F" w:rsidP="00142F3F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7664D">
        <w:rPr>
          <w:rFonts w:ascii="Garamond" w:hAnsi="Garamond"/>
          <w:b/>
        </w:rPr>
        <w:t xml:space="preserve">GRILLE DE PRESENTATION </w:t>
      </w:r>
      <w:r>
        <w:rPr>
          <w:rFonts w:ascii="Garamond" w:hAnsi="Garamond"/>
          <w:b/>
        </w:rPr>
        <w:t>D'UNE SEQUENCE</w:t>
      </w:r>
    </w:p>
    <w:p w:rsidR="00142F3F" w:rsidRPr="00C7664D" w:rsidRDefault="00142F3F" w:rsidP="00142F3F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« PAF 2015-2016 – Préparer les élèves à l'acquisition des méthodes</w:t>
      </w:r>
      <w:r w:rsidRPr="00C7664D">
        <w:rPr>
          <w:rFonts w:ascii="Garamond" w:hAnsi="Garamond"/>
          <w:b/>
        </w:rPr>
        <w:t>»</w:t>
      </w:r>
    </w:p>
    <w:p w:rsidR="00142F3F" w:rsidRDefault="00142F3F" w:rsidP="00142F3F">
      <w:pPr>
        <w:spacing w:after="0" w:line="240" w:lineRule="auto"/>
        <w:rPr>
          <w:rFonts w:ascii="Garamond" w:hAnsi="Garamond"/>
          <w:b/>
        </w:rPr>
      </w:pPr>
    </w:p>
    <w:p w:rsidR="00142F3F" w:rsidRDefault="00142F3F" w:rsidP="00142F3F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TITRE DE LA SEQUENCE : </w:t>
      </w:r>
      <w:r w:rsidR="00147B82">
        <w:rPr>
          <w:rFonts w:ascii="Garamond" w:hAnsi="Garamond"/>
          <w:b/>
        </w:rPr>
        <w:t>QCM en ligne</w:t>
      </w:r>
    </w:p>
    <w:p w:rsidR="00142F3F" w:rsidRDefault="00142F3F" w:rsidP="00142F3F">
      <w:pPr>
        <w:spacing w:after="0" w:line="240" w:lineRule="auto"/>
        <w:rPr>
          <w:rFonts w:ascii="Garamond" w:hAnsi="Garamond"/>
          <w:b/>
        </w:rPr>
      </w:pPr>
    </w:p>
    <w:p w:rsidR="00142F3F" w:rsidRDefault="00142F3F" w:rsidP="00142F3F">
      <w:pPr>
        <w:spacing w:after="0" w:line="240" w:lineRule="auto"/>
        <w:rPr>
          <w:rFonts w:ascii="Garamond" w:hAnsi="Garamond"/>
          <w:b/>
        </w:rPr>
      </w:pPr>
    </w:p>
    <w:p w:rsidR="00142F3F" w:rsidRPr="00C7664D" w:rsidRDefault="00142F3F" w:rsidP="00142F3F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 xml:space="preserve">I. OBJECTIFS ET COMPÉTENCES </w:t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2127"/>
        <w:gridCol w:w="992"/>
        <w:gridCol w:w="567"/>
        <w:gridCol w:w="1981"/>
        <w:gridCol w:w="3121"/>
      </w:tblGrid>
      <w:tr w:rsidR="00142F3F" w:rsidRPr="00C7664D" w:rsidTr="00142F3F">
        <w:tc>
          <w:tcPr>
            <w:tcW w:w="1985" w:type="dxa"/>
          </w:tcPr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Niveau de classe concerné : </w:t>
            </w:r>
          </w:p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  <w:tc>
          <w:tcPr>
            <w:tcW w:w="2127" w:type="dxa"/>
          </w:tcPr>
          <w:p w:rsidR="00147B82" w:rsidRDefault="00147B82" w:rsidP="007D0F4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Première ES</w:t>
            </w:r>
          </w:p>
          <w:p w:rsidR="00142F3F" w:rsidRPr="00147B82" w:rsidRDefault="00142F3F" w:rsidP="00147B82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gridSpan w:val="2"/>
          </w:tcPr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Partie du programme concernée : </w:t>
            </w:r>
          </w:p>
        </w:tc>
        <w:tc>
          <w:tcPr>
            <w:tcW w:w="5102" w:type="dxa"/>
            <w:gridSpan w:val="2"/>
          </w:tcPr>
          <w:p w:rsidR="00142F3F" w:rsidRDefault="00147B82" w:rsidP="007D0F4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Thème 1 </w:t>
            </w:r>
            <w:r w:rsidR="00EA73ED">
              <w:rPr>
                <w:rFonts w:ascii="Garamond" w:hAnsi="Garamond"/>
                <w:b/>
              </w:rPr>
              <w:t xml:space="preserve">et Thème 2 </w:t>
            </w:r>
            <w:r>
              <w:rPr>
                <w:rFonts w:ascii="Garamond" w:hAnsi="Garamond"/>
                <w:b/>
              </w:rPr>
              <w:t>de Science économique</w:t>
            </w:r>
          </w:p>
          <w:p w:rsidR="00142F3F" w:rsidRDefault="00142F3F" w:rsidP="007D0F49">
            <w:pPr>
              <w:rPr>
                <w:rFonts w:ascii="Garamond" w:hAnsi="Garamond"/>
                <w:b/>
              </w:rPr>
            </w:pPr>
          </w:p>
          <w:p w:rsidR="00142F3F" w:rsidRDefault="00142F3F" w:rsidP="007D0F49">
            <w:pPr>
              <w:rPr>
                <w:rFonts w:ascii="Garamond" w:hAnsi="Garamond"/>
                <w:b/>
              </w:rPr>
            </w:pPr>
          </w:p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</w:tr>
      <w:tr w:rsidR="00142F3F" w:rsidRPr="00C7664D" w:rsidTr="00142F3F">
        <w:tc>
          <w:tcPr>
            <w:tcW w:w="1985" w:type="dxa"/>
          </w:tcPr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Compétences ou Notions abordées : </w:t>
            </w:r>
          </w:p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  <w:tc>
          <w:tcPr>
            <w:tcW w:w="8788" w:type="dxa"/>
            <w:gridSpan w:val="5"/>
          </w:tcPr>
          <w:p w:rsidR="00142F3F" w:rsidRPr="00FC1A9F" w:rsidRDefault="00147B82" w:rsidP="007D0F49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Evaluation forma</w:t>
            </w:r>
            <w:r w:rsidR="00927CC1">
              <w:rPr>
                <w:rFonts w:ascii="Garamond" w:hAnsi="Garamond"/>
                <w:b/>
              </w:rPr>
              <w:t>tive</w:t>
            </w:r>
            <w:bookmarkStart w:id="0" w:name="_GoBack"/>
            <w:bookmarkEnd w:id="0"/>
          </w:p>
        </w:tc>
      </w:tr>
      <w:tr w:rsidR="00142F3F" w:rsidRPr="00C7664D" w:rsidTr="00142F3F">
        <w:tc>
          <w:tcPr>
            <w:tcW w:w="1985" w:type="dxa"/>
            <w:vMerge w:val="restart"/>
          </w:tcPr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 xml:space="preserve">- Durée de la séquence : </w:t>
            </w:r>
          </w:p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:rsidR="00142F3F" w:rsidRPr="00C7664D" w:rsidRDefault="00142F3F" w:rsidP="007D0F49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à la maison :</w:t>
            </w:r>
          </w:p>
        </w:tc>
        <w:tc>
          <w:tcPr>
            <w:tcW w:w="2548" w:type="dxa"/>
            <w:gridSpan w:val="2"/>
          </w:tcPr>
          <w:p w:rsidR="00142F3F" w:rsidRPr="00C7664D" w:rsidRDefault="00142F3F" w:rsidP="007D0F49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Temps en classe :</w:t>
            </w:r>
          </w:p>
        </w:tc>
        <w:tc>
          <w:tcPr>
            <w:tcW w:w="3121" w:type="dxa"/>
          </w:tcPr>
          <w:p w:rsidR="00142F3F" w:rsidRPr="00C7664D" w:rsidRDefault="00142F3F" w:rsidP="007D0F49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Au total :</w:t>
            </w:r>
          </w:p>
        </w:tc>
      </w:tr>
      <w:tr w:rsidR="00142F3F" w:rsidRPr="00C7664D" w:rsidTr="00142F3F">
        <w:tc>
          <w:tcPr>
            <w:tcW w:w="1985" w:type="dxa"/>
            <w:vMerge/>
          </w:tcPr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  <w:tc>
          <w:tcPr>
            <w:tcW w:w="3119" w:type="dxa"/>
            <w:gridSpan w:val="2"/>
          </w:tcPr>
          <w:p w:rsidR="00142F3F" w:rsidRDefault="00927CC1" w:rsidP="007D0F4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 minutes</w:t>
            </w:r>
          </w:p>
          <w:p w:rsidR="00142F3F" w:rsidRPr="00C7664D" w:rsidRDefault="00142F3F" w:rsidP="007D0F49">
            <w:pPr>
              <w:rPr>
                <w:rFonts w:ascii="Garamond" w:hAnsi="Garamond"/>
                <w:b/>
              </w:rPr>
            </w:pPr>
          </w:p>
        </w:tc>
        <w:tc>
          <w:tcPr>
            <w:tcW w:w="2548" w:type="dxa"/>
            <w:gridSpan w:val="2"/>
          </w:tcPr>
          <w:p w:rsidR="00142F3F" w:rsidRPr="00C7664D" w:rsidRDefault="00927CC1" w:rsidP="007D0F4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30 minutes</w:t>
            </w:r>
          </w:p>
        </w:tc>
        <w:tc>
          <w:tcPr>
            <w:tcW w:w="3121" w:type="dxa"/>
          </w:tcPr>
          <w:p w:rsidR="00142F3F" w:rsidRPr="00C7664D" w:rsidRDefault="00927CC1" w:rsidP="007D0F4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45 minutes</w:t>
            </w:r>
          </w:p>
        </w:tc>
      </w:tr>
    </w:tbl>
    <w:p w:rsidR="00142F3F" w:rsidRDefault="00142F3F" w:rsidP="00142F3F">
      <w:pPr>
        <w:spacing w:after="0" w:line="240" w:lineRule="auto"/>
        <w:rPr>
          <w:rFonts w:ascii="Garamond" w:hAnsi="Garamond"/>
        </w:rPr>
      </w:pPr>
    </w:p>
    <w:p w:rsidR="00142F3F" w:rsidRPr="00C7664D" w:rsidRDefault="00142F3F" w:rsidP="00142F3F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II. PRÉPARATION MATÉRIELLE ET DOCUMENTS DISTRIBUES</w:t>
      </w:r>
    </w:p>
    <w:p w:rsidR="00927CC1" w:rsidRDefault="00142F3F" w:rsidP="00142F3F">
      <w:pPr>
        <w:spacing w:after="0" w:line="240" w:lineRule="auto"/>
        <w:jc w:val="both"/>
        <w:rPr>
          <w:rFonts w:ascii="Garamond" w:hAnsi="Garamond"/>
        </w:rPr>
      </w:pPr>
      <w:r w:rsidRPr="00C7664D">
        <w:rPr>
          <w:rFonts w:ascii="Garamond" w:hAnsi="Garamond"/>
        </w:rPr>
        <w:t>- Matériel nécessaire (salle informatique, vidéoprojecteur</w:t>
      </w:r>
      <w:r>
        <w:rPr>
          <w:rFonts w:ascii="Garamond" w:hAnsi="Garamond"/>
        </w:rPr>
        <w:t>, Smartphones, tablettes du lycée ou personnelles</w:t>
      </w:r>
      <w:r w:rsidR="00927CC1">
        <w:rPr>
          <w:rFonts w:ascii="Garamond" w:hAnsi="Garamond"/>
        </w:rPr>
        <w:t>,…) :</w:t>
      </w:r>
    </w:p>
    <w:p w:rsidR="00927CC1" w:rsidRPr="00C7664D" w:rsidRDefault="00927CC1" w:rsidP="00142F3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dehors de la classe, chaque élève doit pouvoir utiliser un ordinateur pour se connecter au site Internet de </w:t>
      </w:r>
      <w:proofErr w:type="spellStart"/>
      <w:r>
        <w:rPr>
          <w:rFonts w:ascii="Garamond" w:hAnsi="Garamond"/>
        </w:rPr>
        <w:t>Pronote</w:t>
      </w:r>
      <w:proofErr w:type="spellEnd"/>
      <w:r>
        <w:rPr>
          <w:rFonts w:ascii="Garamond" w:hAnsi="Garamond"/>
        </w:rPr>
        <w:t xml:space="preserve"> afin d’accéder au QCM envoyé à la classe.</w:t>
      </w:r>
    </w:p>
    <w:p w:rsidR="00142F3F" w:rsidRPr="00C7664D" w:rsidRDefault="00142F3F" w:rsidP="00142F3F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>- Organisation d</w:t>
      </w:r>
      <w:r>
        <w:rPr>
          <w:rFonts w:ascii="Garamond" w:hAnsi="Garamond"/>
        </w:rPr>
        <w:t xml:space="preserve">e la classe (ilots, rang d’oignons,…) : </w:t>
      </w:r>
      <w:r w:rsidR="00927CC1">
        <w:rPr>
          <w:rFonts w:ascii="Garamond" w:hAnsi="Garamond"/>
        </w:rPr>
        <w:t>En aval du travail à la maison, organisation traditionnelle de la classe.</w:t>
      </w:r>
    </w:p>
    <w:p w:rsidR="00142F3F" w:rsidRPr="00C7664D" w:rsidRDefault="00142F3F" w:rsidP="00142F3F">
      <w:pPr>
        <w:spacing w:after="0" w:line="240" w:lineRule="auto"/>
        <w:rPr>
          <w:rFonts w:ascii="Garamond" w:hAnsi="Garamond"/>
        </w:rPr>
      </w:pPr>
      <w:r w:rsidRPr="00C7664D">
        <w:rPr>
          <w:rFonts w:ascii="Garamond" w:hAnsi="Garamond"/>
        </w:rPr>
        <w:t xml:space="preserve">- Liste des documents distribués </w:t>
      </w:r>
      <w:r>
        <w:rPr>
          <w:rFonts w:ascii="Garamond" w:hAnsi="Garamond"/>
        </w:rPr>
        <w:t xml:space="preserve">aux élèves </w:t>
      </w:r>
      <w:r w:rsidRPr="00C7664D">
        <w:rPr>
          <w:rFonts w:ascii="Garamond" w:hAnsi="Garamond"/>
        </w:rPr>
        <w:t xml:space="preserve">en précisant leur nature (textes, vidéos, présentation power point, questionnaire,…) pour le travail à la maison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42F3F" w:rsidRPr="00C7664D" w:rsidTr="007D0F49">
        <w:tc>
          <w:tcPr>
            <w:tcW w:w="2376" w:type="dxa"/>
          </w:tcPr>
          <w:p w:rsidR="00142F3F" w:rsidRPr="00C7664D" w:rsidRDefault="00142F3F" w:rsidP="007D0F49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Nature du document</w:t>
            </w:r>
          </w:p>
        </w:tc>
        <w:tc>
          <w:tcPr>
            <w:tcW w:w="6836" w:type="dxa"/>
          </w:tcPr>
          <w:p w:rsidR="00142F3F" w:rsidRPr="00C7664D" w:rsidRDefault="00142F3F" w:rsidP="007D0F49">
            <w:pPr>
              <w:jc w:val="center"/>
              <w:rPr>
                <w:rFonts w:ascii="Garamond" w:hAnsi="Garamond"/>
                <w:b/>
              </w:rPr>
            </w:pPr>
            <w:r w:rsidRPr="00C7664D">
              <w:rPr>
                <w:rFonts w:ascii="Garamond" w:hAnsi="Garamond"/>
                <w:b/>
              </w:rPr>
              <w:t>Titre du document</w:t>
            </w:r>
          </w:p>
        </w:tc>
      </w:tr>
      <w:tr w:rsidR="00142F3F" w:rsidTr="007D0F49">
        <w:tc>
          <w:tcPr>
            <w:tcW w:w="2376" w:type="dxa"/>
          </w:tcPr>
          <w:p w:rsidR="00142F3F" w:rsidRDefault="00927CC1" w:rsidP="007D0F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Lien sur </w:t>
            </w:r>
            <w:r w:rsidR="00EA73ED">
              <w:rPr>
                <w:rFonts w:ascii="Garamond" w:hAnsi="Garamond"/>
              </w:rPr>
              <w:t xml:space="preserve">le site Internet de </w:t>
            </w:r>
            <w:proofErr w:type="spellStart"/>
            <w:r>
              <w:rPr>
                <w:rFonts w:ascii="Garamond" w:hAnsi="Garamond"/>
              </w:rPr>
              <w:t>Pronote</w:t>
            </w:r>
            <w:proofErr w:type="spellEnd"/>
            <w:r>
              <w:rPr>
                <w:rFonts w:ascii="Garamond" w:hAnsi="Garamond"/>
              </w:rPr>
              <w:t xml:space="preserve"> vers le QCM</w:t>
            </w:r>
          </w:p>
        </w:tc>
        <w:tc>
          <w:tcPr>
            <w:tcW w:w="6836" w:type="dxa"/>
          </w:tcPr>
          <w:p w:rsidR="00142F3F" w:rsidRDefault="00927CC1" w:rsidP="007D0F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QCM Science éco – Thème 1</w:t>
            </w:r>
          </w:p>
        </w:tc>
      </w:tr>
      <w:tr w:rsidR="00927CC1" w:rsidTr="007D0F49">
        <w:tc>
          <w:tcPr>
            <w:tcW w:w="2376" w:type="dxa"/>
          </w:tcPr>
          <w:p w:rsidR="00927CC1" w:rsidRDefault="00927CC1" w:rsidP="004D6D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Lien sur </w:t>
            </w:r>
            <w:r w:rsidR="00EA73ED">
              <w:rPr>
                <w:rFonts w:ascii="Garamond" w:hAnsi="Garamond"/>
              </w:rPr>
              <w:t xml:space="preserve">le site Internet de </w:t>
            </w:r>
            <w:proofErr w:type="spellStart"/>
            <w:r>
              <w:rPr>
                <w:rFonts w:ascii="Garamond" w:hAnsi="Garamond"/>
              </w:rPr>
              <w:t>Pronote</w:t>
            </w:r>
            <w:proofErr w:type="spellEnd"/>
            <w:r>
              <w:rPr>
                <w:rFonts w:ascii="Garamond" w:hAnsi="Garamond"/>
              </w:rPr>
              <w:t xml:space="preserve"> vers le QCM</w:t>
            </w:r>
          </w:p>
        </w:tc>
        <w:tc>
          <w:tcPr>
            <w:tcW w:w="6836" w:type="dxa"/>
          </w:tcPr>
          <w:p w:rsidR="00927CC1" w:rsidRDefault="00927CC1" w:rsidP="004D6D6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QCM Science éco – Thème 2</w:t>
            </w:r>
          </w:p>
        </w:tc>
      </w:tr>
      <w:tr w:rsidR="00927CC1" w:rsidTr="007D0F49">
        <w:tc>
          <w:tcPr>
            <w:tcW w:w="2376" w:type="dxa"/>
          </w:tcPr>
          <w:p w:rsidR="00927CC1" w:rsidRDefault="00927CC1" w:rsidP="007D0F49">
            <w:pPr>
              <w:rPr>
                <w:rFonts w:ascii="Garamond" w:hAnsi="Garamond"/>
              </w:rPr>
            </w:pPr>
          </w:p>
        </w:tc>
        <w:tc>
          <w:tcPr>
            <w:tcW w:w="6836" w:type="dxa"/>
          </w:tcPr>
          <w:p w:rsidR="00927CC1" w:rsidRDefault="00927CC1" w:rsidP="007D0F49">
            <w:pPr>
              <w:rPr>
                <w:rFonts w:ascii="Garamond" w:hAnsi="Garamond"/>
              </w:rPr>
            </w:pPr>
          </w:p>
        </w:tc>
      </w:tr>
    </w:tbl>
    <w:p w:rsidR="00142F3F" w:rsidRDefault="00142F3F" w:rsidP="00142F3F">
      <w:pPr>
        <w:spacing w:after="0" w:line="240" w:lineRule="auto"/>
        <w:rPr>
          <w:rFonts w:ascii="Garamond" w:hAnsi="Garamond"/>
        </w:rPr>
      </w:pPr>
    </w:p>
    <w:p w:rsidR="00142F3F" w:rsidRPr="00C7664D" w:rsidRDefault="00142F3F" w:rsidP="00142F3F">
      <w:pPr>
        <w:spacing w:after="0" w:line="240" w:lineRule="auto"/>
        <w:rPr>
          <w:rFonts w:ascii="Garamond" w:hAnsi="Garamond"/>
          <w:b/>
          <w:color w:val="FF0000"/>
        </w:rPr>
      </w:pPr>
      <w:r w:rsidRPr="00C7664D">
        <w:rPr>
          <w:rFonts w:ascii="Garamond" w:hAnsi="Garamond"/>
          <w:b/>
          <w:color w:val="FF0000"/>
        </w:rPr>
        <w:t>III. DÉMARCHE ET MODE DE FONCTIONNEMENT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343"/>
      </w:tblGrid>
      <w:tr w:rsidR="00142F3F" w:rsidTr="00142F3F">
        <w:tc>
          <w:tcPr>
            <w:tcW w:w="3369" w:type="dxa"/>
          </w:tcPr>
          <w:p w:rsidR="00142F3F" w:rsidRDefault="00142F3F" w:rsidP="007D0F49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>- Présentation de la situation aux élèves (enjeu de la séance) : référence au contexte (activités situées en amont) : Oui/Non, temps estimé :</w:t>
            </w:r>
          </w:p>
        </w:tc>
        <w:tc>
          <w:tcPr>
            <w:tcW w:w="6343" w:type="dxa"/>
          </w:tcPr>
          <w:p w:rsidR="00142F3F" w:rsidRDefault="00927CC1" w:rsidP="00927C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Après l’étude du thème effectuée en classe, mise à disposition d’un QCM sur </w:t>
            </w:r>
            <w:proofErr w:type="spellStart"/>
            <w:r>
              <w:rPr>
                <w:rFonts w:ascii="Garamond" w:hAnsi="Garamond"/>
              </w:rPr>
              <w:t>Pronote</w:t>
            </w:r>
            <w:proofErr w:type="spellEnd"/>
            <w:r>
              <w:rPr>
                <w:rFonts w:ascii="Garamond" w:hAnsi="Garamond"/>
              </w:rPr>
              <w:t xml:space="preserve"> afin de les aider à réviser pour le DS qui aura lieu 3 semaines après.</w:t>
            </w:r>
          </w:p>
          <w:p w:rsidR="00927CC1" w:rsidRDefault="00927CC1" w:rsidP="00927C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ont la possibilité (et non l’obligation) de répondre au QCM</w:t>
            </w:r>
            <w:r w:rsidR="00B8036D">
              <w:rPr>
                <w:rFonts w:ascii="Garamond" w:hAnsi="Garamond"/>
              </w:rPr>
              <w:t xml:space="preserve"> en ligne,</w:t>
            </w:r>
            <w:r>
              <w:rPr>
                <w:rFonts w:ascii="Garamond" w:hAnsi="Garamond"/>
              </w:rPr>
              <w:t xml:space="preserve"> soit avant de débuter leurs révisions pour identifier leurs points faibles, soit après avoir retravaillé le cours pour vérifier que tout est </w:t>
            </w:r>
            <w:r w:rsidR="00B8036D">
              <w:rPr>
                <w:rFonts w:ascii="Garamond" w:hAnsi="Garamond"/>
              </w:rPr>
              <w:t>compris.</w:t>
            </w:r>
          </w:p>
        </w:tc>
      </w:tr>
      <w:tr w:rsidR="00142F3F" w:rsidTr="00142F3F">
        <w:tc>
          <w:tcPr>
            <w:tcW w:w="3369" w:type="dxa"/>
          </w:tcPr>
          <w:p w:rsidR="00142F3F" w:rsidRDefault="00142F3F" w:rsidP="007D0F49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La séance s'inscrit-elle dans une progression ? dans un projet ? </w:t>
            </w:r>
            <w:r>
              <w:rPr>
                <w:rFonts w:ascii="Garamond" w:hAnsi="Garamond"/>
              </w:rPr>
              <w:t>Oui/Non. Si oui, lequel ?</w:t>
            </w:r>
          </w:p>
        </w:tc>
        <w:tc>
          <w:tcPr>
            <w:tcW w:w="6343" w:type="dxa"/>
          </w:tcPr>
          <w:p w:rsidR="00142F3F" w:rsidRDefault="00B8036D" w:rsidP="00B803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QCM doit être effectué entre la fin du cours et le DS.</w:t>
            </w:r>
          </w:p>
          <w:p w:rsidR="00B8036D" w:rsidRDefault="00B8036D" w:rsidP="00B803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séance précédant le DS peut alors être consacrée à une remédiation en classe entière. L’enseignant utilise les résultats au QCM afin d’identifier les questions qui ont rencontré le plus de difficultés.</w:t>
            </w:r>
          </w:p>
          <w:p w:rsidR="00B8036D" w:rsidRDefault="00B8036D" w:rsidP="00B8036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élèves qui ont mal ou non répondu aux questions sollicitent ceux qui ont bien répondu.</w:t>
            </w:r>
          </w:p>
        </w:tc>
      </w:tr>
      <w:tr w:rsidR="00142F3F" w:rsidTr="00142F3F">
        <w:tc>
          <w:tcPr>
            <w:tcW w:w="3369" w:type="dxa"/>
          </w:tcPr>
          <w:p w:rsidR="00142F3F" w:rsidRDefault="00142F3F" w:rsidP="007D0F49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a-t-il une trace écrite ? </w:t>
            </w:r>
            <w:r>
              <w:rPr>
                <w:rFonts w:ascii="Garamond" w:hAnsi="Garamond"/>
              </w:rPr>
              <w:t xml:space="preserve">Oui/Non. Si oui, sous quelle forme ? </w:t>
            </w:r>
          </w:p>
        </w:tc>
        <w:tc>
          <w:tcPr>
            <w:tcW w:w="6343" w:type="dxa"/>
          </w:tcPr>
          <w:p w:rsidR="00142F3F" w:rsidRDefault="00EA73ED" w:rsidP="00EA73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se connectant à </w:t>
            </w:r>
            <w:proofErr w:type="spellStart"/>
            <w:r>
              <w:rPr>
                <w:rFonts w:ascii="Garamond" w:hAnsi="Garamond"/>
              </w:rPr>
              <w:t>Pronote</w:t>
            </w:r>
            <w:proofErr w:type="spellEnd"/>
            <w:r>
              <w:rPr>
                <w:rFonts w:ascii="Garamond" w:hAnsi="Garamond"/>
              </w:rPr>
              <w:t>, l</w:t>
            </w:r>
            <w:r w:rsidR="00B8036D">
              <w:rPr>
                <w:rFonts w:ascii="Garamond" w:hAnsi="Garamond"/>
              </w:rPr>
              <w:t>’enseignant peut voir à tout moment quels élèves ont répondu au QCM</w:t>
            </w:r>
            <w:r>
              <w:rPr>
                <w:rFonts w:ascii="Garamond" w:hAnsi="Garamond"/>
              </w:rPr>
              <w:t>, combien de temps ils ont mis, à quel degré de difficulté</w:t>
            </w:r>
            <w:r w:rsidR="00B8036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ils l’ont estimé, </w:t>
            </w:r>
            <w:r w:rsidR="00B8036D">
              <w:rPr>
                <w:rFonts w:ascii="Garamond" w:hAnsi="Garamond"/>
              </w:rPr>
              <w:t>quelles questions ont été réussies ou non/mal répondues.</w:t>
            </w:r>
          </w:p>
        </w:tc>
      </w:tr>
      <w:tr w:rsidR="00142F3F" w:rsidTr="00142F3F">
        <w:tc>
          <w:tcPr>
            <w:tcW w:w="3369" w:type="dxa"/>
          </w:tcPr>
          <w:p w:rsidR="00142F3F" w:rsidRDefault="00142F3F" w:rsidP="007D0F49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</w:t>
            </w:r>
            <w:proofErr w:type="spellStart"/>
            <w:r w:rsidRPr="00C7664D">
              <w:rPr>
                <w:rFonts w:ascii="Garamond" w:hAnsi="Garamond"/>
              </w:rPr>
              <w:t>a-t-il</w:t>
            </w:r>
            <w:proofErr w:type="spellEnd"/>
            <w:r w:rsidRPr="00C766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une évaluation ? Oui/Non. Si oui, </w:t>
            </w:r>
            <w:r w:rsidRPr="00C7664D">
              <w:rPr>
                <w:rFonts w:ascii="Garamond" w:hAnsi="Garamond"/>
              </w:rPr>
              <w:t>so</w:t>
            </w:r>
            <w:r>
              <w:rPr>
                <w:rFonts w:ascii="Garamond" w:hAnsi="Garamond"/>
              </w:rPr>
              <w:t>us quelle forme ? de quel type ?</w:t>
            </w:r>
            <w:r w:rsidRPr="00C7664D">
              <w:rPr>
                <w:rFonts w:ascii="Garamond" w:hAnsi="Garamond"/>
              </w:rPr>
              <w:t xml:space="preserve"> </w:t>
            </w:r>
          </w:p>
        </w:tc>
        <w:tc>
          <w:tcPr>
            <w:tcW w:w="6343" w:type="dxa"/>
          </w:tcPr>
          <w:p w:rsidR="00142F3F" w:rsidRDefault="00B8036D" w:rsidP="007D0F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L’élève s’autoévalue : il sait combien de questions </w:t>
            </w:r>
            <w:r w:rsidR="00EA73ED">
              <w:rPr>
                <w:rFonts w:ascii="Garamond" w:hAnsi="Garamond"/>
              </w:rPr>
              <w:t>ont été</w:t>
            </w:r>
            <w:r>
              <w:rPr>
                <w:rFonts w:ascii="Garamond" w:hAnsi="Garamond"/>
              </w:rPr>
              <w:t xml:space="preserve"> réussi</w:t>
            </w:r>
            <w:r w:rsidR="00EA73ED">
              <w:rPr>
                <w:rFonts w:ascii="Garamond" w:hAnsi="Garamond"/>
              </w:rPr>
              <w:t>es.</w:t>
            </w:r>
          </w:p>
          <w:p w:rsidR="00B8036D" w:rsidRDefault="00B8036D" w:rsidP="007D0F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L’enseignant peut choisir de compter les notes dans la moyenne ou de conserver le caractère informatif de la note.</w:t>
            </w:r>
          </w:p>
        </w:tc>
      </w:tr>
      <w:tr w:rsidR="00142F3F" w:rsidTr="00142F3F">
        <w:tc>
          <w:tcPr>
            <w:tcW w:w="3369" w:type="dxa"/>
          </w:tcPr>
          <w:p w:rsidR="00142F3F" w:rsidRDefault="00142F3F" w:rsidP="007D0F49">
            <w:pPr>
              <w:rPr>
                <w:rFonts w:ascii="Garamond" w:hAnsi="Garamond"/>
              </w:rPr>
            </w:pPr>
            <w:r w:rsidRPr="00C7664D">
              <w:rPr>
                <w:rFonts w:ascii="Garamond" w:hAnsi="Garamond"/>
              </w:rPr>
              <w:t xml:space="preserve">- Y a t il alternance </w:t>
            </w:r>
            <w:r>
              <w:rPr>
                <w:rFonts w:ascii="Garamond" w:hAnsi="Garamond"/>
              </w:rPr>
              <w:t xml:space="preserve">durant les différentes phases de la séquence </w:t>
            </w:r>
            <w:r w:rsidRPr="00C7664D">
              <w:rPr>
                <w:rFonts w:ascii="Garamond" w:hAnsi="Garamond"/>
              </w:rPr>
              <w:t>? (Travail individuel, collectif, en groupe ?)</w:t>
            </w:r>
          </w:p>
        </w:tc>
        <w:tc>
          <w:tcPr>
            <w:tcW w:w="6343" w:type="dxa"/>
          </w:tcPr>
          <w:p w:rsidR="00EA73ED" w:rsidRDefault="00B8036D" w:rsidP="00EA73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travail de révisions est effectué de façon individuelle à la maison ou en salle informatique</w:t>
            </w:r>
            <w:r w:rsidR="00EA73ED">
              <w:rPr>
                <w:rFonts w:ascii="Garamond" w:hAnsi="Garamond"/>
              </w:rPr>
              <w:t xml:space="preserve"> en libre accès. </w:t>
            </w:r>
          </w:p>
          <w:p w:rsidR="00142F3F" w:rsidRDefault="00EA73ED" w:rsidP="00EA73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B8036D">
              <w:rPr>
                <w:rFonts w:ascii="Garamond" w:hAnsi="Garamond"/>
              </w:rPr>
              <w:t>a remédiation est effectuée collectivement en classe.</w:t>
            </w:r>
          </w:p>
        </w:tc>
      </w:tr>
    </w:tbl>
    <w:p w:rsidR="00147B82" w:rsidRDefault="00147B82"/>
    <w:p w:rsidR="00EA73ED" w:rsidRDefault="00EA73ED"/>
    <w:p w:rsidR="00EA73ED" w:rsidRPr="00EA73ED" w:rsidRDefault="00EA73ED" w:rsidP="00EA73ED">
      <w:pPr>
        <w:spacing w:after="120"/>
        <w:rPr>
          <w:b/>
          <w:u w:val="single"/>
        </w:rPr>
      </w:pPr>
      <w:r w:rsidRPr="00EA73ED">
        <w:rPr>
          <w:b/>
          <w:u w:val="single"/>
        </w:rPr>
        <w:t>1</w:t>
      </w:r>
      <w:r w:rsidRPr="00EA73ED">
        <w:rPr>
          <w:b/>
          <w:u w:val="single"/>
          <w:vertAlign w:val="superscript"/>
        </w:rPr>
        <w:t>er</w:t>
      </w:r>
      <w:r w:rsidRPr="00EA73ED">
        <w:rPr>
          <w:b/>
          <w:u w:val="single"/>
        </w:rPr>
        <w:t xml:space="preserve"> exemple de QCM :</w:t>
      </w:r>
    </w:p>
    <w:p w:rsidR="00147B82" w:rsidRDefault="00147B82">
      <w:r>
        <w:rPr>
          <w:noProof/>
        </w:rPr>
        <w:lastRenderedPageBreak/>
        <w:drawing>
          <wp:inline distT="0" distB="0" distL="0" distR="0" wp14:anchorId="517AC472" wp14:editId="61B0415F">
            <wp:extent cx="5040000" cy="38930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9282" t="26100" r="957" b="5531"/>
                    <a:stretch/>
                  </pic:blipFill>
                  <pic:spPr bwMode="auto">
                    <a:xfrm>
                      <a:off x="0" y="0"/>
                      <a:ext cx="5040000" cy="3893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3ED" w:rsidRPr="00EA73ED" w:rsidRDefault="00EA73ED" w:rsidP="00EA73ED">
      <w:pPr>
        <w:spacing w:after="120"/>
        <w:rPr>
          <w:b/>
          <w:u w:val="single"/>
        </w:rPr>
      </w:pPr>
      <w:r>
        <w:rPr>
          <w:b/>
          <w:u w:val="single"/>
        </w:rPr>
        <w:t>2</w:t>
      </w:r>
      <w:r w:rsidRPr="00EA73ED">
        <w:rPr>
          <w:b/>
          <w:u w:val="single"/>
          <w:vertAlign w:val="superscript"/>
        </w:rPr>
        <w:t>ème</w:t>
      </w:r>
      <w:r>
        <w:rPr>
          <w:b/>
          <w:u w:val="single"/>
        </w:rPr>
        <w:t xml:space="preserve"> </w:t>
      </w:r>
      <w:r w:rsidRPr="00EA73ED">
        <w:rPr>
          <w:b/>
          <w:u w:val="single"/>
        </w:rPr>
        <w:t>exemple de QCM :</w:t>
      </w:r>
    </w:p>
    <w:p w:rsidR="00147B82" w:rsidRDefault="00147B82">
      <w:r>
        <w:rPr>
          <w:noProof/>
        </w:rPr>
        <w:drawing>
          <wp:inline distT="0" distB="0" distL="0" distR="0" wp14:anchorId="5D5F8B79" wp14:editId="44F91305">
            <wp:extent cx="5040000" cy="28704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9213" t="22695" r="2534" b="28421"/>
                    <a:stretch/>
                  </pic:blipFill>
                  <pic:spPr bwMode="auto">
                    <a:xfrm>
                      <a:off x="0" y="0"/>
                      <a:ext cx="5040000" cy="2870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4981AF" wp14:editId="55FB8B2F">
            <wp:extent cx="5040000" cy="246861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9440" t="49646" r="2560" b="8534"/>
                    <a:stretch/>
                  </pic:blipFill>
                  <pic:spPr bwMode="auto">
                    <a:xfrm>
                      <a:off x="0" y="0"/>
                      <a:ext cx="5040000" cy="2468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7B82" w:rsidSect="00142F3F">
      <w:pgSz w:w="11906" w:h="16838"/>
      <w:pgMar w:top="426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5041"/>
    <w:multiLevelType w:val="hybridMultilevel"/>
    <w:tmpl w:val="1E4A8752"/>
    <w:lvl w:ilvl="0" w:tplc="AA04E0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56D7"/>
    <w:multiLevelType w:val="hybridMultilevel"/>
    <w:tmpl w:val="2CE827C6"/>
    <w:lvl w:ilvl="0" w:tplc="71844AF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F"/>
    <w:rsid w:val="00142F3F"/>
    <w:rsid w:val="00147B82"/>
    <w:rsid w:val="00686EED"/>
    <w:rsid w:val="00927CC1"/>
    <w:rsid w:val="00B23AEB"/>
    <w:rsid w:val="00B8036D"/>
    <w:rsid w:val="00D05B15"/>
    <w:rsid w:val="00E07694"/>
    <w:rsid w:val="00EA73ED"/>
    <w:rsid w:val="00EE3573"/>
    <w:rsid w:val="00FC1A9F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F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2F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piam</cp:lastModifiedBy>
  <cp:revision>2</cp:revision>
  <dcterms:created xsi:type="dcterms:W3CDTF">2016-04-25T17:39:00Z</dcterms:created>
  <dcterms:modified xsi:type="dcterms:W3CDTF">2016-04-25T17:39:00Z</dcterms:modified>
</cp:coreProperties>
</file>